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300" w:line="240" w:lineRule="auto"/>
        <w:outlineLvl w:val="0"/>
        <w:rPr>
          <w:rFonts w:ascii="Roboto Slab" w:eastAsia="Times New Roman" w:hAnsi="Roboto Slab" w:cs="Arial"/>
          <w:color w:val="3C6F90"/>
          <w:kern w:val="36"/>
          <w:sz w:val="53"/>
          <w:szCs w:val="53"/>
          <w:lang w:eastAsia="it-IT"/>
        </w:rPr>
      </w:pPr>
      <w:r>
        <w:rPr>
          <w:rFonts w:ascii="Roboto Slab" w:eastAsia="Times New Roman" w:hAnsi="Roboto Slab" w:cs="Arial"/>
          <w:color w:val="3C6F90"/>
          <w:kern w:val="36"/>
          <w:sz w:val="53"/>
          <w:szCs w:val="53"/>
          <w:lang w:eastAsia="it-IT"/>
        </w:rPr>
        <w:t>Super-ammortamenti anche per le auto</w:t>
      </w:r>
    </w:p>
    <w:p>
      <w:pPr>
        <w:shd w:val="clear" w:color="auto" w:fill="FFFFFF"/>
        <w:spacing w:after="300" w:line="375" w:lineRule="atLeast"/>
        <w:outlineLvl w:val="1"/>
        <w:rPr>
          <w:rFonts w:ascii="inherit" w:eastAsia="Times New Roman" w:hAnsi="inherit" w:cs="Arial"/>
          <w:color w:val="686A6A"/>
          <w:sz w:val="32"/>
          <w:szCs w:val="32"/>
          <w:lang w:eastAsia="it-IT"/>
        </w:rPr>
      </w:pPr>
      <w:r>
        <w:rPr>
          <w:rFonts w:ascii="inherit" w:eastAsia="Times New Roman" w:hAnsi="inherit" w:cs="Arial"/>
          <w:color w:val="686A6A"/>
          <w:sz w:val="32"/>
          <w:szCs w:val="32"/>
          <w:lang w:eastAsia="it-IT"/>
        </w:rPr>
        <w:t xml:space="preserve">Il </w:t>
      </w:r>
      <w:proofErr w:type="spellStart"/>
      <w:r>
        <w:rPr>
          <w:rFonts w:ascii="inherit" w:eastAsia="Times New Roman" w:hAnsi="inherit" w:cs="Arial"/>
          <w:color w:val="686A6A"/>
          <w:sz w:val="32"/>
          <w:szCs w:val="32"/>
          <w:lang w:eastAsia="it-IT"/>
        </w:rPr>
        <w:t>Ddl</w:t>
      </w:r>
      <w:proofErr w:type="spellEnd"/>
      <w:r>
        <w:rPr>
          <w:rFonts w:ascii="inherit" w:eastAsia="Times New Roman" w:hAnsi="inherit" w:cs="Arial"/>
          <w:color w:val="686A6A"/>
          <w:sz w:val="32"/>
          <w:szCs w:val="32"/>
          <w:lang w:eastAsia="it-IT"/>
        </w:rPr>
        <w:t>. di stabilità 2016 esclude dall’agevolazione i fabbricati e le costruzioni</w:t>
      </w:r>
    </w:p>
    <w:p>
      <w:pPr>
        <w:shd w:val="clear" w:color="auto" w:fill="FFFFFF"/>
        <w:spacing w:after="300" w:line="300" w:lineRule="atLeast"/>
        <w:rPr>
          <w:rFonts w:ascii="Roboto Slab" w:eastAsia="Times New Roman" w:hAnsi="Roboto Slab" w:cs="Arial"/>
          <w:color w:val="000000"/>
          <w:sz w:val="24"/>
          <w:szCs w:val="24"/>
          <w:lang w:eastAsia="it-IT"/>
        </w:rPr>
      </w:pPr>
      <w:r>
        <w:rPr>
          <w:rFonts w:ascii="Roboto Slab" w:eastAsia="Times New Roman" w:hAnsi="Roboto Slab" w:cs="Arial"/>
          <w:color w:val="000000"/>
          <w:sz w:val="24"/>
          <w:szCs w:val="24"/>
          <w:lang w:eastAsia="it-IT"/>
        </w:rPr>
        <w:t xml:space="preserve">Come annunciato da più parti, l’art. 8 del </w:t>
      </w:r>
      <w:proofErr w:type="spellStart"/>
      <w:r>
        <w:rPr>
          <w:rFonts w:ascii="Roboto Slab" w:eastAsia="Times New Roman" w:hAnsi="Roboto Slab" w:cs="Arial"/>
          <w:color w:val="000000"/>
          <w:sz w:val="24"/>
          <w:szCs w:val="24"/>
          <w:lang w:eastAsia="it-IT"/>
        </w:rPr>
        <w:t>Ddl</w:t>
      </w:r>
      <w:proofErr w:type="spellEnd"/>
      <w:r>
        <w:rPr>
          <w:rFonts w:ascii="Roboto Slab" w:eastAsia="Times New Roman" w:hAnsi="Roboto Slab" w:cs="Arial"/>
          <w:color w:val="000000"/>
          <w:sz w:val="24"/>
          <w:szCs w:val="24"/>
          <w:lang w:eastAsia="it-IT"/>
        </w:rPr>
        <w:t xml:space="preserve">. di stabilità 2016 introduce un’agevolazione che interviene sulla disciplina fiscale degli </w:t>
      </w:r>
      <w:bookmarkStart w:id="0" w:name="_GoBack"/>
      <w:bookmarkEnd w:id="0"/>
      <w:r>
        <w:rPr>
          <w:rFonts w:ascii="Roboto Slab" w:eastAsia="Times New Roman" w:hAnsi="Roboto Slab" w:cs="Arial"/>
          <w:b/>
          <w:bCs/>
          <w:color w:val="000000"/>
          <w:sz w:val="24"/>
          <w:szCs w:val="24"/>
          <w:lang w:eastAsia="it-IT"/>
        </w:rPr>
        <w:t>ammortamenti</w:t>
      </w:r>
      <w:r>
        <w:rPr>
          <w:rFonts w:ascii="Roboto Slab" w:eastAsia="Times New Roman" w:hAnsi="Roboto Slab" w:cs="Arial"/>
          <w:color w:val="000000"/>
          <w:sz w:val="24"/>
          <w:szCs w:val="24"/>
          <w:lang w:eastAsia="it-IT"/>
        </w:rPr>
        <w:t> effettuati tanto dai soggetti titolari di reddito d’impresa, quanto di lavoro autonomo.</w:t>
      </w:r>
    </w:p>
    <w:p>
      <w:pPr>
        <w:shd w:val="clear" w:color="auto" w:fill="FFFFFF"/>
        <w:spacing w:after="300" w:line="300" w:lineRule="atLeast"/>
        <w:rPr>
          <w:rFonts w:ascii="Roboto Slab" w:eastAsia="Times New Roman" w:hAnsi="Roboto Slab" w:cs="Arial"/>
          <w:color w:val="000000"/>
          <w:sz w:val="24"/>
          <w:szCs w:val="24"/>
          <w:lang w:eastAsia="it-IT"/>
        </w:rPr>
      </w:pPr>
      <w:r>
        <w:rPr>
          <w:rFonts w:ascii="Roboto Slab" w:eastAsia="Times New Roman" w:hAnsi="Roboto Slab" w:cs="Arial"/>
          <w:color w:val="000000"/>
          <w:sz w:val="24"/>
          <w:szCs w:val="24"/>
          <w:lang w:eastAsia="it-IT"/>
        </w:rPr>
        <w:t>Un primo elemento che emerge dalla lettura della norma riguarda la sua </w:t>
      </w:r>
      <w:r>
        <w:rPr>
          <w:rFonts w:ascii="Roboto Slab" w:eastAsia="Times New Roman" w:hAnsi="Roboto Slab" w:cs="Arial"/>
          <w:b/>
          <w:bCs/>
          <w:color w:val="000000"/>
          <w:sz w:val="24"/>
          <w:szCs w:val="24"/>
          <w:lang w:eastAsia="it-IT"/>
        </w:rPr>
        <w:t>natura temporanea</w:t>
      </w:r>
      <w:r>
        <w:rPr>
          <w:rFonts w:ascii="Roboto Slab" w:eastAsia="Times New Roman" w:hAnsi="Roboto Slab" w:cs="Arial"/>
          <w:color w:val="000000"/>
          <w:sz w:val="24"/>
          <w:szCs w:val="24"/>
          <w:lang w:eastAsia="it-IT"/>
        </w:rPr>
        <w:t>, posto che l’agevolazione riguarda solo gli investimenti in beni materiali nuovi effettuati dal 15 ottobre 2015 al 31 dicembre 2016.</w:t>
      </w:r>
    </w:p>
    <w:p>
      <w:pPr>
        <w:shd w:val="clear" w:color="auto" w:fill="FFFFFF"/>
        <w:spacing w:after="300" w:line="300" w:lineRule="atLeast"/>
        <w:rPr>
          <w:rFonts w:ascii="Roboto Slab" w:eastAsia="Times New Roman" w:hAnsi="Roboto Slab" w:cs="Arial"/>
          <w:color w:val="000000"/>
          <w:sz w:val="24"/>
          <w:szCs w:val="24"/>
          <w:lang w:eastAsia="it-IT"/>
        </w:rPr>
      </w:pPr>
      <w:r>
        <w:rPr>
          <w:rFonts w:ascii="Roboto Slab" w:eastAsia="Times New Roman" w:hAnsi="Roboto Slab" w:cs="Arial"/>
          <w:color w:val="000000"/>
          <w:sz w:val="24"/>
          <w:szCs w:val="24"/>
          <w:lang w:eastAsia="it-IT"/>
        </w:rPr>
        <w:t xml:space="preserve">Nonostante la norma non lo preveda espressamente, è da ritenere che al fine di individuare l’esatto momento in cui l’investimento si considera realizzato – e, quindi, se lo stesso rientri o meno </w:t>
      </w:r>
      <w:proofErr w:type="spellStart"/>
      <w:r>
        <w:rPr>
          <w:rFonts w:ascii="Roboto Slab" w:eastAsia="Times New Roman" w:hAnsi="Roboto Slab" w:cs="Arial"/>
          <w:color w:val="000000"/>
          <w:sz w:val="24"/>
          <w:szCs w:val="24"/>
          <w:lang w:eastAsia="it-IT"/>
        </w:rPr>
        <w:t>nel</w:t>
      </w:r>
      <w:r>
        <w:rPr>
          <w:rFonts w:ascii="Roboto Slab" w:eastAsia="Times New Roman" w:hAnsi="Roboto Slab" w:cs="Arial"/>
          <w:b/>
          <w:bCs/>
          <w:color w:val="000000"/>
          <w:sz w:val="24"/>
          <w:szCs w:val="24"/>
          <w:lang w:eastAsia="it-IT"/>
        </w:rPr>
        <w:t>periodo</w:t>
      </w:r>
      <w:proofErr w:type="spellEnd"/>
      <w:r>
        <w:rPr>
          <w:rFonts w:ascii="Roboto Slab" w:eastAsia="Times New Roman" w:hAnsi="Roboto Slab" w:cs="Arial"/>
          <w:b/>
          <w:bCs/>
          <w:color w:val="000000"/>
          <w:sz w:val="24"/>
          <w:szCs w:val="24"/>
          <w:lang w:eastAsia="it-IT"/>
        </w:rPr>
        <w:t xml:space="preserve"> agevolato</w:t>
      </w:r>
      <w:r>
        <w:rPr>
          <w:rFonts w:ascii="Roboto Slab" w:eastAsia="Times New Roman" w:hAnsi="Roboto Slab" w:cs="Arial"/>
          <w:color w:val="000000"/>
          <w:sz w:val="24"/>
          <w:szCs w:val="24"/>
          <w:lang w:eastAsia="it-IT"/>
        </w:rPr>
        <w:t> – si debba fare riferimento ai criteri generali del TUIR.</w:t>
      </w:r>
      <w:r>
        <w:rPr>
          <w:rFonts w:ascii="Roboto Slab" w:eastAsia="Times New Roman" w:hAnsi="Roboto Slab" w:cs="Arial"/>
          <w:color w:val="000000"/>
          <w:sz w:val="24"/>
          <w:szCs w:val="24"/>
          <w:lang w:eastAsia="it-IT"/>
        </w:rPr>
        <w:br/>
        <w:t>Pertanto le spese di acquisizione dei beni si considerano sostenute, per i beni mobili, alla data della consegna o spedizione (ovvero, se diversa e successiva, alla data in cui si verifica l’effetto traslativo o  costitutivo  della  proprietà  o  di altro diritto reale).</w:t>
      </w:r>
      <w:r>
        <w:rPr>
          <w:rFonts w:ascii="Roboto Slab" w:eastAsia="Times New Roman" w:hAnsi="Roboto Slab" w:cs="Arial"/>
          <w:color w:val="000000"/>
          <w:sz w:val="24"/>
          <w:szCs w:val="24"/>
          <w:lang w:eastAsia="it-IT"/>
        </w:rPr>
        <w:br/>
        <w:t>Analogo principio vale per gli investimenti in beni strumentali da parte dell’artista o del professionista, posto che, ai fini della determinazione del reddito di lavoro autonomo, i beni strumentali in genere non rilevano secondo il principio di cassa (circ. n. </w:t>
      </w:r>
      <w:hyperlink r:id="rId5" w:tgtFrame="_blank" w:history="1">
        <w:r>
          <w:rPr>
            <w:rFonts w:ascii="Roboto Slab" w:eastAsia="Times New Roman" w:hAnsi="Roboto Slab" w:cs="Arial"/>
            <w:color w:val="337AB7"/>
            <w:sz w:val="24"/>
            <w:szCs w:val="24"/>
            <w:lang w:eastAsia="it-IT"/>
          </w:rPr>
          <w:t>90/2001</w:t>
        </w:r>
      </w:hyperlink>
      <w:r>
        <w:rPr>
          <w:rFonts w:ascii="Roboto Slab" w:eastAsia="Times New Roman" w:hAnsi="Roboto Slab" w:cs="Arial"/>
          <w:color w:val="000000"/>
          <w:sz w:val="24"/>
          <w:szCs w:val="24"/>
          <w:lang w:eastAsia="it-IT"/>
        </w:rPr>
        <w:t>, § 7.2).</w:t>
      </w:r>
    </w:p>
    <w:p>
      <w:pPr>
        <w:shd w:val="clear" w:color="auto" w:fill="FFFFFF"/>
        <w:spacing w:after="300" w:line="300" w:lineRule="atLeast"/>
        <w:rPr>
          <w:rFonts w:ascii="Roboto Slab" w:eastAsia="Times New Roman" w:hAnsi="Roboto Slab" w:cs="Arial"/>
          <w:color w:val="000000"/>
          <w:sz w:val="24"/>
          <w:szCs w:val="24"/>
          <w:lang w:eastAsia="it-IT"/>
        </w:rPr>
      </w:pPr>
      <w:r>
        <w:rPr>
          <w:rFonts w:ascii="Roboto Slab" w:eastAsia="Times New Roman" w:hAnsi="Roboto Slab" w:cs="Arial"/>
          <w:color w:val="000000"/>
          <w:sz w:val="24"/>
          <w:szCs w:val="24"/>
          <w:lang w:eastAsia="it-IT"/>
        </w:rPr>
        <w:t>Quanto all’ambito oggettivo, sono agevolati i beni </w:t>
      </w:r>
      <w:r>
        <w:rPr>
          <w:rFonts w:ascii="Roboto Slab" w:eastAsia="Times New Roman" w:hAnsi="Roboto Slab" w:cs="Arial"/>
          <w:b/>
          <w:bCs/>
          <w:color w:val="000000"/>
          <w:sz w:val="24"/>
          <w:szCs w:val="24"/>
          <w:lang w:eastAsia="it-IT"/>
        </w:rPr>
        <w:t>materiali strumentali nuovi</w:t>
      </w:r>
      <w:r>
        <w:rPr>
          <w:rFonts w:ascii="Roboto Slab" w:eastAsia="Times New Roman" w:hAnsi="Roboto Slab" w:cs="Arial"/>
          <w:color w:val="000000"/>
          <w:sz w:val="24"/>
          <w:szCs w:val="24"/>
          <w:lang w:eastAsia="it-IT"/>
        </w:rPr>
        <w:t>.</w:t>
      </w:r>
      <w:r>
        <w:rPr>
          <w:rFonts w:ascii="Roboto Slab" w:eastAsia="Times New Roman" w:hAnsi="Roboto Slab" w:cs="Arial"/>
          <w:color w:val="000000"/>
          <w:sz w:val="24"/>
          <w:szCs w:val="24"/>
          <w:lang w:eastAsia="it-IT"/>
        </w:rPr>
        <w:br/>
        <w:t>Sono, quindi, esclusi gli investimenti in beni immateriali e in beni “usati” (vale a dire i beni a qualunque titolo utilizzati).</w:t>
      </w:r>
      <w:r>
        <w:rPr>
          <w:rFonts w:ascii="Roboto Slab" w:eastAsia="Times New Roman" w:hAnsi="Roboto Slab" w:cs="Arial"/>
          <w:color w:val="000000"/>
          <w:sz w:val="24"/>
          <w:szCs w:val="24"/>
          <w:lang w:eastAsia="it-IT"/>
        </w:rPr>
        <w:br/>
        <w:t xml:space="preserve">Secondo i chiarimenti forniti in passato dall’Agenzia, il requisito </w:t>
      </w:r>
      <w:proofErr w:type="spellStart"/>
      <w:r>
        <w:rPr>
          <w:rFonts w:ascii="Roboto Slab" w:eastAsia="Times New Roman" w:hAnsi="Roboto Slab" w:cs="Arial"/>
          <w:color w:val="000000"/>
          <w:sz w:val="24"/>
          <w:szCs w:val="24"/>
          <w:lang w:eastAsia="it-IT"/>
        </w:rPr>
        <w:t>della</w:t>
      </w:r>
      <w:r>
        <w:rPr>
          <w:rFonts w:ascii="Roboto Slab" w:eastAsia="Times New Roman" w:hAnsi="Roboto Slab" w:cs="Arial"/>
          <w:b/>
          <w:bCs/>
          <w:color w:val="000000"/>
          <w:sz w:val="24"/>
          <w:szCs w:val="24"/>
          <w:lang w:eastAsia="it-IT"/>
        </w:rPr>
        <w:t>novità</w:t>
      </w:r>
      <w:proofErr w:type="spellEnd"/>
      <w:r>
        <w:rPr>
          <w:rFonts w:ascii="Roboto Slab" w:eastAsia="Times New Roman" w:hAnsi="Roboto Slab" w:cs="Arial"/>
          <w:color w:val="000000"/>
          <w:sz w:val="24"/>
          <w:szCs w:val="24"/>
          <w:lang w:eastAsia="it-IT"/>
        </w:rPr>
        <w:t> sussiste nel caso in cui il bene sia acquistato dal produttore, nonché nel caso in cui il bene sia acquistato da un soggetto diverso dal produttore e dal rivenditore purché non sia già stato utilizzato né da parte del cedente né da alcun altro soggetto (circ. n. 90/2001).</w:t>
      </w:r>
      <w:r>
        <w:rPr>
          <w:rFonts w:ascii="Roboto Slab" w:eastAsia="Times New Roman" w:hAnsi="Roboto Slab" w:cs="Arial"/>
          <w:color w:val="000000"/>
          <w:sz w:val="24"/>
          <w:szCs w:val="24"/>
          <w:lang w:eastAsia="it-IT"/>
        </w:rPr>
        <w:br/>
        <w:t>Dovrebbe essere oggetto dell’agevolazione in esame anche il bene che viene esposto in show room ed utilizzato esclusivamente dal rivenditore al solo </w:t>
      </w:r>
      <w:r>
        <w:rPr>
          <w:rFonts w:ascii="Roboto Slab" w:eastAsia="Times New Roman" w:hAnsi="Roboto Slab" w:cs="Arial"/>
          <w:b/>
          <w:bCs/>
          <w:color w:val="000000"/>
          <w:sz w:val="24"/>
          <w:szCs w:val="24"/>
          <w:lang w:eastAsia="it-IT"/>
        </w:rPr>
        <w:t>scopo dimostrativo</w:t>
      </w:r>
      <w:r>
        <w:rPr>
          <w:rFonts w:ascii="Roboto Slab" w:eastAsia="Times New Roman" w:hAnsi="Roboto Slab" w:cs="Arial"/>
          <w:color w:val="000000"/>
          <w:sz w:val="24"/>
          <w:szCs w:val="24"/>
          <w:lang w:eastAsia="it-IT"/>
        </w:rPr>
        <w:t>. Inoltre, con riguardo ai beni complessi alla realizzazione dei quali abbiano concorso anche beni usati, il requisito della novità sussiste in relazione all’intero bene, purché l’entità del costo relativo ai beni usati non sia prevalente rispetto al costo complessivamente sostenuto (</w:t>
      </w:r>
      <w:r>
        <w:rPr>
          <w:rFonts w:ascii="Roboto Slab" w:eastAsia="Times New Roman" w:hAnsi="Roboto Slab" w:cs="Arial"/>
          <w:i/>
          <w:iCs/>
          <w:color w:val="000000"/>
          <w:sz w:val="24"/>
          <w:szCs w:val="24"/>
          <w:lang w:eastAsia="it-IT"/>
        </w:rPr>
        <w:t>cfr</w:t>
      </w:r>
      <w:r>
        <w:rPr>
          <w:rFonts w:ascii="Roboto Slab" w:eastAsia="Times New Roman" w:hAnsi="Roboto Slab" w:cs="Arial"/>
          <w:color w:val="000000"/>
          <w:sz w:val="24"/>
          <w:szCs w:val="24"/>
          <w:lang w:eastAsia="it-IT"/>
        </w:rPr>
        <w:t>. circ. Agenzia Entrate n. </w:t>
      </w:r>
      <w:hyperlink r:id="rId6" w:tgtFrame="_blank" w:history="1">
        <w:r>
          <w:rPr>
            <w:rFonts w:ascii="Roboto Slab" w:eastAsia="Times New Roman" w:hAnsi="Roboto Slab" w:cs="Arial"/>
            <w:color w:val="337AB7"/>
            <w:sz w:val="24"/>
            <w:szCs w:val="24"/>
            <w:lang w:eastAsia="it-IT"/>
          </w:rPr>
          <w:t>5/2015</w:t>
        </w:r>
      </w:hyperlink>
      <w:r>
        <w:rPr>
          <w:rFonts w:ascii="Roboto Slab" w:eastAsia="Times New Roman" w:hAnsi="Roboto Slab" w:cs="Arial"/>
          <w:color w:val="000000"/>
          <w:sz w:val="24"/>
          <w:szCs w:val="24"/>
          <w:lang w:eastAsia="it-IT"/>
        </w:rPr>
        <w:t> e n. </w:t>
      </w:r>
      <w:hyperlink r:id="rId7" w:tgtFrame="_blank" w:history="1">
        <w:r>
          <w:rPr>
            <w:rFonts w:ascii="Roboto Slab" w:eastAsia="Times New Roman" w:hAnsi="Roboto Slab" w:cs="Arial"/>
            <w:color w:val="337AB7"/>
            <w:sz w:val="24"/>
            <w:szCs w:val="24"/>
            <w:lang w:eastAsia="it-IT"/>
          </w:rPr>
          <w:t>44/2009</w:t>
        </w:r>
      </w:hyperlink>
      <w:r>
        <w:rPr>
          <w:rFonts w:ascii="Roboto Slab" w:eastAsia="Times New Roman" w:hAnsi="Roboto Slab" w:cs="Arial"/>
          <w:color w:val="000000"/>
          <w:sz w:val="24"/>
          <w:szCs w:val="24"/>
          <w:lang w:eastAsia="it-IT"/>
        </w:rPr>
        <w:t>).</w:t>
      </w:r>
    </w:p>
    <w:p>
      <w:pPr>
        <w:shd w:val="clear" w:color="auto" w:fill="FFFFFF"/>
        <w:spacing w:after="300" w:line="300" w:lineRule="atLeast"/>
        <w:rPr>
          <w:rFonts w:ascii="Roboto Slab" w:eastAsia="Times New Roman" w:hAnsi="Roboto Slab" w:cs="Arial"/>
          <w:color w:val="000000"/>
          <w:sz w:val="24"/>
          <w:szCs w:val="24"/>
          <w:lang w:eastAsia="it-IT"/>
        </w:rPr>
      </w:pPr>
      <w:r>
        <w:rPr>
          <w:rFonts w:ascii="Roboto Slab" w:eastAsia="Times New Roman" w:hAnsi="Roboto Slab" w:cs="Arial"/>
          <w:color w:val="000000"/>
          <w:sz w:val="24"/>
          <w:szCs w:val="24"/>
          <w:lang w:eastAsia="it-IT"/>
        </w:rPr>
        <w:t>Stando alla bozza diffusa ieri, sarebbero</w:t>
      </w:r>
      <w:r>
        <w:rPr>
          <w:rFonts w:ascii="Roboto Slab" w:eastAsia="Times New Roman" w:hAnsi="Roboto Slab" w:cs="Arial"/>
          <w:b/>
          <w:bCs/>
          <w:color w:val="000000"/>
          <w:sz w:val="24"/>
          <w:szCs w:val="24"/>
          <w:lang w:eastAsia="it-IT"/>
        </w:rPr>
        <w:t> esclusi</w:t>
      </w:r>
      <w:r>
        <w:rPr>
          <w:rFonts w:ascii="Roboto Slab" w:eastAsia="Times New Roman" w:hAnsi="Roboto Slab" w:cs="Arial"/>
          <w:color w:val="000000"/>
          <w:sz w:val="24"/>
          <w:szCs w:val="24"/>
          <w:lang w:eastAsia="it-IT"/>
        </w:rPr>
        <w:t> dall’agevolazione gli acquisti di beni materiali strumentali per i quali il DM 31 dicembre 1988 stabilisce coefficienti di ammortamento inferiori al 6,5%, nonché gli acquisti di</w:t>
      </w:r>
      <w:r>
        <w:rPr>
          <w:rFonts w:ascii="Roboto Slab" w:eastAsia="Times New Roman" w:hAnsi="Roboto Slab" w:cs="Arial"/>
          <w:b/>
          <w:bCs/>
          <w:color w:val="000000"/>
          <w:sz w:val="24"/>
          <w:szCs w:val="24"/>
          <w:lang w:eastAsia="it-IT"/>
        </w:rPr>
        <w:t> fabbricati </w:t>
      </w:r>
      <w:r>
        <w:rPr>
          <w:rFonts w:ascii="Roboto Slab" w:eastAsia="Times New Roman" w:hAnsi="Roboto Slab" w:cs="Arial"/>
          <w:color w:val="000000"/>
          <w:sz w:val="24"/>
          <w:szCs w:val="24"/>
          <w:lang w:eastAsia="it-IT"/>
        </w:rPr>
        <w:t>e di costruzioni. Ulteriori esclusioni saranno poi previste in un apposita tabella allegata alla legge di stabilità.</w:t>
      </w:r>
    </w:p>
    <w:p>
      <w:pPr>
        <w:shd w:val="clear" w:color="auto" w:fill="FFFFFF"/>
        <w:spacing w:after="300" w:line="300" w:lineRule="atLeast"/>
        <w:rPr>
          <w:rFonts w:ascii="Roboto Slab" w:eastAsia="Times New Roman" w:hAnsi="Roboto Slab" w:cs="Arial"/>
          <w:color w:val="000000"/>
          <w:sz w:val="24"/>
          <w:szCs w:val="24"/>
          <w:lang w:eastAsia="it-IT"/>
        </w:rPr>
      </w:pPr>
      <w:r>
        <w:rPr>
          <w:rFonts w:ascii="Roboto Slab" w:eastAsia="Times New Roman" w:hAnsi="Roboto Slab" w:cs="Arial"/>
          <w:color w:val="000000"/>
          <w:sz w:val="24"/>
          <w:szCs w:val="24"/>
          <w:lang w:eastAsia="it-IT"/>
        </w:rPr>
        <w:t>Quanto al requisito della </w:t>
      </w:r>
      <w:r>
        <w:rPr>
          <w:rFonts w:ascii="Roboto Slab" w:eastAsia="Times New Roman" w:hAnsi="Roboto Slab" w:cs="Arial"/>
          <w:b/>
          <w:bCs/>
          <w:color w:val="000000"/>
          <w:sz w:val="24"/>
          <w:szCs w:val="24"/>
          <w:lang w:eastAsia="it-IT"/>
        </w:rPr>
        <w:t>strumentalità</w:t>
      </w:r>
      <w:r>
        <w:rPr>
          <w:rFonts w:ascii="Roboto Slab" w:eastAsia="Times New Roman" w:hAnsi="Roboto Slab" w:cs="Arial"/>
          <w:color w:val="000000"/>
          <w:sz w:val="24"/>
          <w:szCs w:val="24"/>
          <w:lang w:eastAsia="it-IT"/>
        </w:rPr>
        <w:t>, i beni devono essere di uso durevole ed atti ad essere impiegati come strumenti di produzione all’interno del processo produttivo dell’impresa. Sono, quindi, esclusi i beni merce (o comunque trasformati o assemblati per la vendita) e i materiali di consumo (circ. n. 5/2015).</w:t>
      </w:r>
    </w:p>
    <w:p>
      <w:pPr>
        <w:shd w:val="clear" w:color="auto" w:fill="FFFFFF"/>
        <w:spacing w:after="300" w:line="300" w:lineRule="atLeast"/>
        <w:rPr>
          <w:rFonts w:ascii="Roboto Slab" w:eastAsia="Times New Roman" w:hAnsi="Roboto Slab" w:cs="Arial"/>
          <w:color w:val="000000"/>
          <w:sz w:val="24"/>
          <w:szCs w:val="24"/>
          <w:lang w:eastAsia="it-IT"/>
        </w:rPr>
      </w:pPr>
      <w:r>
        <w:rPr>
          <w:rFonts w:ascii="Roboto Slab" w:eastAsia="Times New Roman" w:hAnsi="Roboto Slab" w:cs="Arial"/>
          <w:color w:val="000000"/>
          <w:sz w:val="24"/>
          <w:szCs w:val="24"/>
          <w:lang w:eastAsia="it-IT"/>
        </w:rPr>
        <w:lastRenderedPageBreak/>
        <w:t xml:space="preserve">Si osserva, inoltre, che lo schema prevede che il costo di acquisizione sia maggiorato del 40%, rilevando ai fini della deducibilità degli ammortamenti. Pertanto, la norma sembra strutturarsi come </w:t>
      </w:r>
      <w:proofErr w:type="spellStart"/>
      <w:r>
        <w:rPr>
          <w:rFonts w:ascii="Roboto Slab" w:eastAsia="Times New Roman" w:hAnsi="Roboto Slab" w:cs="Arial"/>
          <w:color w:val="000000"/>
          <w:sz w:val="24"/>
          <w:szCs w:val="24"/>
          <w:lang w:eastAsia="it-IT"/>
        </w:rPr>
        <w:t>una</w:t>
      </w:r>
      <w:r>
        <w:rPr>
          <w:rFonts w:ascii="Roboto Slab" w:eastAsia="Times New Roman" w:hAnsi="Roboto Slab" w:cs="Arial"/>
          <w:b/>
          <w:bCs/>
          <w:color w:val="000000"/>
          <w:sz w:val="24"/>
          <w:szCs w:val="24"/>
          <w:lang w:eastAsia="it-IT"/>
        </w:rPr>
        <w:t>variazione</w:t>
      </w:r>
      <w:proofErr w:type="spellEnd"/>
      <w:r>
        <w:rPr>
          <w:rFonts w:ascii="Roboto Slab" w:eastAsia="Times New Roman" w:hAnsi="Roboto Slab" w:cs="Arial"/>
          <w:b/>
          <w:bCs/>
          <w:color w:val="000000"/>
          <w:sz w:val="24"/>
          <w:szCs w:val="24"/>
          <w:lang w:eastAsia="it-IT"/>
        </w:rPr>
        <w:t xml:space="preserve"> in diminuzione</w:t>
      </w:r>
      <w:r>
        <w:rPr>
          <w:rFonts w:ascii="Roboto Slab" w:eastAsia="Times New Roman" w:hAnsi="Roboto Slab" w:cs="Arial"/>
          <w:color w:val="000000"/>
          <w:sz w:val="24"/>
          <w:szCs w:val="24"/>
          <w:lang w:eastAsia="it-IT"/>
        </w:rPr>
        <w:t> da effettuarsi in dichiarazione dei redditi, senza impatti di natura contabile, eccezion fatta ovviamente per le minori imposte.</w:t>
      </w:r>
      <w:r>
        <w:rPr>
          <w:rFonts w:ascii="Roboto Slab" w:eastAsia="Times New Roman" w:hAnsi="Roboto Slab" w:cs="Arial"/>
          <w:color w:val="000000"/>
          <w:sz w:val="24"/>
          <w:szCs w:val="24"/>
          <w:lang w:eastAsia="it-IT"/>
        </w:rPr>
        <w:br/>
        <w:t xml:space="preserve">Ad una prima lettura, la deducibilità dei maggiori ammortamenti non imputati a Conto economico dovrebbe trovare giustificazione nell’art. 109 comma 4 </w:t>
      </w:r>
      <w:proofErr w:type="spellStart"/>
      <w:r>
        <w:rPr>
          <w:rFonts w:ascii="Roboto Slab" w:eastAsia="Times New Roman" w:hAnsi="Roboto Slab" w:cs="Arial"/>
          <w:color w:val="000000"/>
          <w:sz w:val="24"/>
          <w:szCs w:val="24"/>
          <w:lang w:eastAsia="it-IT"/>
        </w:rPr>
        <w:t>lett</w:t>
      </w:r>
      <w:proofErr w:type="spellEnd"/>
      <w:r>
        <w:rPr>
          <w:rFonts w:ascii="Roboto Slab" w:eastAsia="Times New Roman" w:hAnsi="Roboto Slab" w:cs="Arial"/>
          <w:color w:val="000000"/>
          <w:sz w:val="24"/>
          <w:szCs w:val="24"/>
          <w:lang w:eastAsia="it-IT"/>
        </w:rPr>
        <w:t>. b) del TUIR, in base al quale sono deducibili i componenti negativi che, pur non essendo imputabili al Conto economico, sono deducibili per disposizione di legge.</w:t>
      </w:r>
    </w:p>
    <w:p>
      <w:pPr>
        <w:shd w:val="clear" w:color="auto" w:fill="FFFFFF"/>
        <w:spacing w:line="300" w:lineRule="atLeast"/>
        <w:rPr>
          <w:rFonts w:ascii="Roboto" w:eastAsia="Times New Roman" w:hAnsi="Roboto" w:cs="Arial"/>
          <w:i/>
          <w:iCs/>
          <w:color w:val="000000"/>
          <w:sz w:val="30"/>
          <w:szCs w:val="30"/>
          <w:lang w:eastAsia="it-IT"/>
        </w:rPr>
      </w:pPr>
      <w:r>
        <w:rPr>
          <w:rFonts w:ascii="Roboto" w:eastAsia="Times New Roman" w:hAnsi="Roboto" w:cs="Arial"/>
          <w:i/>
          <w:iCs/>
          <w:color w:val="000000"/>
          <w:sz w:val="30"/>
          <w:szCs w:val="30"/>
          <w:lang w:eastAsia="it-IT"/>
        </w:rPr>
        <w:t>Auto concesse ai dipendenti senza incentivo</w:t>
      </w:r>
    </w:p>
    <w:p>
      <w:pPr>
        <w:shd w:val="clear" w:color="auto" w:fill="FFFFFF"/>
        <w:spacing w:after="300" w:line="300" w:lineRule="atLeast"/>
        <w:rPr>
          <w:rFonts w:ascii="Roboto Slab" w:eastAsia="Times New Roman" w:hAnsi="Roboto Slab" w:cs="Arial"/>
          <w:color w:val="000000"/>
          <w:sz w:val="24"/>
          <w:szCs w:val="24"/>
          <w:lang w:eastAsia="it-IT"/>
        </w:rPr>
      </w:pPr>
      <w:r>
        <w:rPr>
          <w:rFonts w:ascii="Roboto Slab" w:eastAsia="Times New Roman" w:hAnsi="Roboto Slab" w:cs="Arial"/>
          <w:color w:val="000000"/>
          <w:sz w:val="24"/>
          <w:szCs w:val="24"/>
          <w:lang w:eastAsia="it-IT"/>
        </w:rPr>
        <w:t>La disposizione sui “super-ammortamenti” si applica, limitatamente al summenzionato periodo agevolato, anche alle </w:t>
      </w:r>
      <w:r>
        <w:rPr>
          <w:rFonts w:ascii="Roboto Slab" w:eastAsia="Times New Roman" w:hAnsi="Roboto Slab" w:cs="Arial"/>
          <w:b/>
          <w:bCs/>
          <w:color w:val="000000"/>
          <w:sz w:val="24"/>
          <w:szCs w:val="24"/>
          <w:lang w:eastAsia="it-IT"/>
        </w:rPr>
        <w:t>autovetture</w:t>
      </w:r>
      <w:r>
        <w:rPr>
          <w:rFonts w:ascii="Roboto Slab" w:eastAsia="Times New Roman" w:hAnsi="Roboto Slab" w:cs="Arial"/>
          <w:color w:val="000000"/>
          <w:sz w:val="24"/>
          <w:szCs w:val="24"/>
          <w:lang w:eastAsia="it-IT"/>
        </w:rPr>
        <w:t>. In particolare, viene previsto che siano altresì maggiorati del 40% i limiti rilevanti per la deduzione delle quote di ammortamento dei beni di cui all’art. 164, comma 1, lettera b) del TUIR.</w:t>
      </w:r>
      <w:r>
        <w:rPr>
          <w:rFonts w:ascii="Roboto Slab" w:eastAsia="Times New Roman" w:hAnsi="Roboto Slab" w:cs="Arial"/>
          <w:color w:val="000000"/>
          <w:sz w:val="24"/>
          <w:szCs w:val="24"/>
          <w:lang w:eastAsia="it-IT"/>
        </w:rPr>
        <w:br/>
        <w:t>Sulla base di tale riferimento, l’agevolazione non si applica alle auto concesse in uso promiscuo ai dipendenti (lettera b-</w:t>
      </w:r>
      <w:r>
        <w:rPr>
          <w:rFonts w:ascii="Roboto Slab" w:eastAsia="Times New Roman" w:hAnsi="Roboto Slab" w:cs="Arial"/>
          <w:i/>
          <w:iCs/>
          <w:color w:val="000000"/>
          <w:sz w:val="24"/>
          <w:szCs w:val="24"/>
          <w:lang w:eastAsia="it-IT"/>
        </w:rPr>
        <w:t>bis</w:t>
      </w:r>
      <w:r>
        <w:rPr>
          <w:rFonts w:ascii="Roboto Slab" w:eastAsia="Times New Roman" w:hAnsi="Roboto Slab" w:cs="Arial"/>
          <w:color w:val="000000"/>
          <w:sz w:val="24"/>
          <w:szCs w:val="24"/>
          <w:lang w:eastAsia="it-IT"/>
        </w:rPr>
        <w:t>) e nemmeno alle auto esclusivamente strumentali all’attività d’impresa (lettera a).</w:t>
      </w:r>
    </w:p>
    <w:p>
      <w:pPr>
        <w:shd w:val="clear" w:color="auto" w:fill="FFFFFF"/>
        <w:spacing w:after="300" w:line="300" w:lineRule="atLeast"/>
        <w:rPr>
          <w:rFonts w:ascii="Roboto Slab" w:eastAsia="Times New Roman" w:hAnsi="Roboto Slab" w:cs="Arial"/>
          <w:color w:val="000000"/>
          <w:sz w:val="24"/>
          <w:szCs w:val="24"/>
          <w:lang w:eastAsia="it-IT"/>
        </w:rPr>
      </w:pPr>
      <w:r>
        <w:rPr>
          <w:rFonts w:ascii="Roboto Slab" w:eastAsia="Times New Roman" w:hAnsi="Roboto Slab" w:cs="Arial"/>
          <w:color w:val="000000"/>
          <w:sz w:val="24"/>
          <w:szCs w:val="24"/>
          <w:lang w:eastAsia="it-IT"/>
        </w:rPr>
        <w:t>Per effetto della maggiorazione del 40%, i </w:t>
      </w:r>
      <w:r>
        <w:rPr>
          <w:rFonts w:ascii="Roboto Slab" w:eastAsia="Times New Roman" w:hAnsi="Roboto Slab" w:cs="Arial"/>
          <w:b/>
          <w:bCs/>
          <w:color w:val="000000"/>
          <w:sz w:val="24"/>
          <w:szCs w:val="24"/>
          <w:lang w:eastAsia="it-IT"/>
        </w:rPr>
        <w:t>nuovi limiti</w:t>
      </w:r>
      <w:r>
        <w:rPr>
          <w:rFonts w:ascii="Roboto Slab" w:eastAsia="Times New Roman" w:hAnsi="Roboto Slab" w:cs="Arial"/>
          <w:color w:val="000000"/>
          <w:sz w:val="24"/>
          <w:szCs w:val="24"/>
          <w:lang w:eastAsia="it-IT"/>
        </w:rPr>
        <w:t> di deducibilità, sotto il profilo del tetto massimo del costo d’acquisto fiscalmente riconosciuto, dovrebbero quindi essere pari a:</w:t>
      </w:r>
      <w:r>
        <w:rPr>
          <w:rFonts w:ascii="Roboto Slab" w:eastAsia="Times New Roman" w:hAnsi="Roboto Slab" w:cs="Arial"/>
          <w:color w:val="000000"/>
          <w:sz w:val="24"/>
          <w:szCs w:val="24"/>
          <w:lang w:eastAsia="it-IT"/>
        </w:rPr>
        <w:br/>
        <w:t>- 25.306 euro (in luogo dell’ordinario 18.075,99) per autovetture e autocaravan;</w:t>
      </w:r>
      <w:r>
        <w:rPr>
          <w:rFonts w:ascii="Roboto Slab" w:eastAsia="Times New Roman" w:hAnsi="Roboto Slab" w:cs="Arial"/>
          <w:color w:val="000000"/>
          <w:sz w:val="24"/>
          <w:szCs w:val="24"/>
          <w:lang w:eastAsia="it-IT"/>
        </w:rPr>
        <w:br/>
        <w:t>- 5.784 euro per i motocicli (in luogo dell’ordinario 4.131,66);</w:t>
      </w:r>
      <w:r>
        <w:rPr>
          <w:rFonts w:ascii="Roboto Slab" w:eastAsia="Times New Roman" w:hAnsi="Roboto Slab" w:cs="Arial"/>
          <w:color w:val="000000"/>
          <w:sz w:val="24"/>
          <w:szCs w:val="24"/>
          <w:lang w:eastAsia="it-IT"/>
        </w:rPr>
        <w:br/>
        <w:t>- 2.892 euro (in luogo dell’ordinario 2.065,83) per i ciclomotori.</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09372">
      <w:bodyDiv w:val="1"/>
      <w:marLeft w:val="0"/>
      <w:marRight w:val="0"/>
      <w:marTop w:val="0"/>
      <w:marBottom w:val="0"/>
      <w:divBdr>
        <w:top w:val="none" w:sz="0" w:space="0" w:color="auto"/>
        <w:left w:val="none" w:sz="0" w:space="0" w:color="auto"/>
        <w:bottom w:val="none" w:sz="0" w:space="0" w:color="auto"/>
        <w:right w:val="none" w:sz="0" w:space="0" w:color="auto"/>
      </w:divBdr>
      <w:divsChild>
        <w:div w:id="953175976">
          <w:marLeft w:val="-225"/>
          <w:marRight w:val="-225"/>
          <w:marTop w:val="0"/>
          <w:marBottom w:val="0"/>
          <w:divBdr>
            <w:top w:val="none" w:sz="0" w:space="0" w:color="auto"/>
            <w:left w:val="none" w:sz="0" w:space="0" w:color="auto"/>
            <w:bottom w:val="none" w:sz="0" w:space="0" w:color="auto"/>
            <w:right w:val="none" w:sz="0" w:space="0" w:color="auto"/>
          </w:divBdr>
          <w:divsChild>
            <w:div w:id="1328678227">
              <w:marLeft w:val="0"/>
              <w:marRight w:val="0"/>
              <w:marTop w:val="0"/>
              <w:marBottom w:val="0"/>
              <w:divBdr>
                <w:top w:val="none" w:sz="0" w:space="0" w:color="auto"/>
                <w:left w:val="none" w:sz="0" w:space="0" w:color="auto"/>
                <w:bottom w:val="none" w:sz="0" w:space="0" w:color="auto"/>
                <w:right w:val="none" w:sz="0" w:space="0" w:color="auto"/>
              </w:divBdr>
            </w:div>
          </w:divsChild>
        </w:div>
        <w:div w:id="2066487331">
          <w:marLeft w:val="-225"/>
          <w:marRight w:val="-225"/>
          <w:marTop w:val="0"/>
          <w:marBottom w:val="0"/>
          <w:divBdr>
            <w:top w:val="none" w:sz="0" w:space="0" w:color="auto"/>
            <w:left w:val="none" w:sz="0" w:space="0" w:color="auto"/>
            <w:bottom w:val="none" w:sz="0" w:space="0" w:color="auto"/>
            <w:right w:val="none" w:sz="0" w:space="0" w:color="auto"/>
          </w:divBdr>
          <w:divsChild>
            <w:div w:id="50079893">
              <w:marLeft w:val="0"/>
              <w:marRight w:val="0"/>
              <w:marTop w:val="0"/>
              <w:marBottom w:val="0"/>
              <w:divBdr>
                <w:top w:val="none" w:sz="0" w:space="0" w:color="auto"/>
                <w:left w:val="none" w:sz="0" w:space="0" w:color="auto"/>
                <w:bottom w:val="none" w:sz="0" w:space="0" w:color="auto"/>
                <w:right w:val="none" w:sz="0" w:space="0" w:color="auto"/>
              </w:divBdr>
              <w:divsChild>
                <w:div w:id="29454414">
                  <w:marLeft w:val="0"/>
                  <w:marRight w:val="0"/>
                  <w:marTop w:val="0"/>
                  <w:marBottom w:val="0"/>
                  <w:divBdr>
                    <w:top w:val="none" w:sz="0" w:space="0" w:color="auto"/>
                    <w:left w:val="none" w:sz="0" w:space="0" w:color="auto"/>
                    <w:bottom w:val="none" w:sz="0" w:space="0" w:color="auto"/>
                    <w:right w:val="none" w:sz="0" w:space="0" w:color="auto"/>
                  </w:divBdr>
                </w:div>
                <w:div w:id="658535806">
                  <w:marLeft w:val="-225"/>
                  <w:marRight w:val="-225"/>
                  <w:marTop w:val="0"/>
                  <w:marBottom w:val="0"/>
                  <w:divBdr>
                    <w:top w:val="none" w:sz="0" w:space="0" w:color="auto"/>
                    <w:left w:val="none" w:sz="0" w:space="0" w:color="auto"/>
                    <w:bottom w:val="none" w:sz="0" w:space="0" w:color="auto"/>
                    <w:right w:val="none" w:sz="0" w:space="0" w:color="auto"/>
                  </w:divBdr>
                  <w:divsChild>
                    <w:div w:id="21128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12978">
          <w:marLeft w:val="-225"/>
          <w:marRight w:val="-225"/>
          <w:marTop w:val="0"/>
          <w:marBottom w:val="0"/>
          <w:divBdr>
            <w:top w:val="none" w:sz="0" w:space="0" w:color="auto"/>
            <w:left w:val="none" w:sz="0" w:space="0" w:color="auto"/>
            <w:bottom w:val="none" w:sz="0" w:space="0" w:color="auto"/>
            <w:right w:val="none" w:sz="0" w:space="0" w:color="auto"/>
          </w:divBdr>
          <w:divsChild>
            <w:div w:id="1415394972">
              <w:marLeft w:val="0"/>
              <w:marRight w:val="0"/>
              <w:marTop w:val="0"/>
              <w:marBottom w:val="0"/>
              <w:divBdr>
                <w:top w:val="none" w:sz="0" w:space="0" w:color="auto"/>
                <w:left w:val="none" w:sz="0" w:space="0" w:color="auto"/>
                <w:bottom w:val="none" w:sz="0" w:space="0" w:color="auto"/>
                <w:right w:val="none" w:sz="0" w:space="0" w:color="auto"/>
              </w:divBdr>
              <w:divsChild>
                <w:div w:id="89856294">
                  <w:marLeft w:val="0"/>
                  <w:marRight w:val="0"/>
                  <w:marTop w:val="450"/>
                  <w:marBottom w:val="450"/>
                  <w:divBdr>
                    <w:top w:val="single" w:sz="12" w:space="4" w:color="CCCCCC"/>
                    <w:left w:val="none" w:sz="0" w:space="0" w:color="auto"/>
                    <w:bottom w:val="single" w:sz="12" w:space="4" w:color="CCCCC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tekne.it/Servizi/BancaDati/Testo.aspx?ID=127060&amp;IDSrc=1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tekne.it/Servizi/RassegnaPrassi/Testo.aspx?ID=219022&amp;IDSrc=100" TargetMode="External"/><Relationship Id="rId5" Type="http://schemas.openxmlformats.org/officeDocument/2006/relationships/hyperlink" Target="http://www.eutekne.it/Servizi/RassegnaPrassi/Testo.aspx?ID=90677&amp;IDSrc=1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2015-10-17T06:38:00Z</dcterms:created>
  <dcterms:modified xsi:type="dcterms:W3CDTF">2015-10-17T06:41:00Z</dcterms:modified>
</cp:coreProperties>
</file>