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300" w:line="240" w:lineRule="auto"/>
        <w:outlineLvl w:val="0"/>
        <w:rPr>
          <w:rFonts w:ascii="Roboto Slab" w:eastAsia="Times New Roman" w:hAnsi="Roboto Slab" w:cs="Arial"/>
          <w:color w:val="3C6F90"/>
          <w:kern w:val="36"/>
          <w:sz w:val="53"/>
          <w:szCs w:val="53"/>
          <w:lang w:eastAsia="it-IT"/>
        </w:rPr>
      </w:pPr>
      <w:r>
        <w:rPr>
          <w:rFonts w:ascii="Roboto Slab" w:eastAsia="Times New Roman" w:hAnsi="Roboto Slab" w:cs="Arial"/>
          <w:color w:val="3C6F90"/>
          <w:kern w:val="36"/>
          <w:sz w:val="53"/>
          <w:szCs w:val="53"/>
          <w:lang w:eastAsia="it-IT"/>
        </w:rPr>
        <w:t>Estensione del reclamo a tutti i tributi con decorrenza «insidiosa»</w:t>
      </w:r>
    </w:p>
    <w:p>
      <w:pPr>
        <w:shd w:val="clear" w:color="auto" w:fill="FFFFFF"/>
        <w:spacing w:after="300" w:line="375" w:lineRule="atLeast"/>
        <w:outlineLvl w:val="1"/>
        <w:rPr>
          <w:rFonts w:ascii="inherit" w:eastAsia="Times New Roman" w:hAnsi="inherit" w:cs="Arial"/>
          <w:color w:val="686A6A"/>
          <w:sz w:val="32"/>
          <w:szCs w:val="32"/>
          <w:lang w:eastAsia="it-IT"/>
        </w:rPr>
      </w:pPr>
      <w:r>
        <w:rPr>
          <w:rFonts w:ascii="inherit" w:eastAsia="Times New Roman" w:hAnsi="inherit" w:cs="Arial"/>
          <w:color w:val="686A6A"/>
          <w:sz w:val="32"/>
          <w:szCs w:val="32"/>
          <w:lang w:eastAsia="it-IT"/>
        </w:rPr>
        <w:t>La novità dovrebbe decorrere dai reclami e non dagli atti impositivi notificati dal 1° gennaio 2016</w:t>
      </w:r>
    </w:p>
    <w:p>
      <w:pPr>
        <w:shd w:val="clear" w:color="auto" w:fill="FFFFFF"/>
        <w:spacing w:after="150" w:line="300" w:lineRule="atLeast"/>
        <w:textAlignment w:val="center"/>
        <w:rPr>
          <w:rFonts w:ascii="Roboto Slab" w:eastAsia="Times New Roman" w:hAnsi="Roboto Slab" w:cs="Arial"/>
          <w:b/>
          <w:bCs/>
          <w:color w:val="68A6CE"/>
          <w:sz w:val="20"/>
          <w:szCs w:val="20"/>
          <w:lang w:eastAsia="it-IT"/>
        </w:rPr>
      </w:pPr>
      <w:r>
        <w:rPr>
          <w:rFonts w:ascii="Roboto Slab" w:eastAsia="Times New Roman" w:hAnsi="Roboto Slab" w:cs="Arial"/>
          <w:b/>
          <w:bCs/>
          <w:color w:val="68A6CE"/>
          <w:sz w:val="20"/>
          <w:szCs w:val="20"/>
          <w:lang w:eastAsia="it-IT"/>
        </w:rPr>
        <w:t>/ </w:t>
      </w:r>
      <w:hyperlink r:id="rId5" w:history="1">
        <w:r>
          <w:rPr>
            <w:rFonts w:ascii="Roboto Slab" w:eastAsia="Times New Roman" w:hAnsi="Roboto Slab" w:cs="Arial"/>
            <w:b/>
            <w:bCs/>
            <w:color w:val="0000FF"/>
            <w:sz w:val="20"/>
            <w:szCs w:val="20"/>
            <w:lang w:eastAsia="it-IT"/>
          </w:rPr>
          <w:t>Alfio CISSELLO</w:t>
        </w:r>
      </w:hyperlink>
      <w:r>
        <w:rPr>
          <w:rFonts w:ascii="Roboto Slab" w:eastAsia="Times New Roman" w:hAnsi="Roboto Slab" w:cs="Arial"/>
          <w:b/>
          <w:bCs/>
          <w:color w:val="68A6CE"/>
          <w:sz w:val="20"/>
          <w:szCs w:val="20"/>
          <w:lang w:eastAsia="it-IT"/>
        </w:rPr>
        <w:t> e </w:t>
      </w:r>
      <w:hyperlink r:id="rId6" w:history="1">
        <w:r>
          <w:rPr>
            <w:rFonts w:ascii="Roboto Slab" w:eastAsia="Times New Roman" w:hAnsi="Roboto Slab" w:cs="Arial"/>
            <w:b/>
            <w:bCs/>
            <w:color w:val="0000FF"/>
            <w:sz w:val="20"/>
            <w:szCs w:val="20"/>
            <w:lang w:eastAsia="it-IT"/>
          </w:rPr>
          <w:t>Chiara RUFFINO</w:t>
        </w:r>
      </w:hyperlink>
    </w:p>
    <w:p>
      <w:pPr>
        <w:shd w:val="clear" w:color="auto" w:fill="FFFFFF"/>
        <w:spacing w:after="0" w:line="300" w:lineRule="atLeast"/>
        <w:textAlignment w:val="center"/>
        <w:rPr>
          <w:rFonts w:ascii="Roboto Slab" w:eastAsia="Times New Roman" w:hAnsi="Roboto Slab" w:cs="Arial"/>
          <w:color w:val="686A6A"/>
          <w:sz w:val="20"/>
          <w:szCs w:val="20"/>
          <w:lang w:eastAsia="it-IT"/>
        </w:rPr>
      </w:pPr>
      <w:r>
        <w:rPr>
          <w:rFonts w:ascii="Roboto Slab" w:eastAsia="Times New Roman" w:hAnsi="Roboto Slab" w:cs="Arial"/>
          <w:color w:val="686A6A"/>
          <w:sz w:val="20"/>
          <w:szCs w:val="20"/>
          <w:lang w:eastAsia="it-IT"/>
        </w:rPr>
        <w:t>Lunedì, 14 dicembre 2015</w:t>
      </w:r>
    </w:p>
    <w:bookmarkStart w:id="0" w:name="_GoBack"/>
    <w:bookmarkEnd w:id="0"/>
    <w:p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86A6A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686A6A"/>
          <w:sz w:val="20"/>
          <w:szCs w:val="20"/>
          <w:lang w:eastAsia="it-IT"/>
        </w:rPr>
        <w:fldChar w:fldCharType="begin"/>
      </w:r>
      <w:r>
        <w:rPr>
          <w:rFonts w:ascii="Arial" w:eastAsia="Times New Roman" w:hAnsi="Arial" w:cs="Arial"/>
          <w:color w:val="686A6A"/>
          <w:sz w:val="20"/>
          <w:szCs w:val="20"/>
          <w:lang w:eastAsia="it-IT"/>
        </w:rPr>
        <w:instrText xml:space="preserve"> HYPERLINK "javascript:void(0);" \o "invia mail" </w:instrText>
      </w:r>
      <w:r>
        <w:rPr>
          <w:rFonts w:ascii="Arial" w:eastAsia="Times New Roman" w:hAnsi="Arial" w:cs="Arial"/>
          <w:color w:val="686A6A"/>
          <w:sz w:val="20"/>
          <w:szCs w:val="20"/>
          <w:lang w:eastAsia="it-IT"/>
        </w:rPr>
        <w:fldChar w:fldCharType="separate"/>
      </w:r>
      <w:r>
        <w:rPr>
          <w:rFonts w:ascii="Arial" w:eastAsia="Times New Roman" w:hAnsi="Arial" w:cs="Arial"/>
          <w:color w:val="686A6A"/>
          <w:sz w:val="20"/>
          <w:szCs w:val="20"/>
          <w:lang w:eastAsia="it-IT"/>
        </w:rPr>
        <w:fldChar w:fldCharType="end"/>
      </w:r>
    </w:p>
    <w:p>
      <w:pPr>
        <w:shd w:val="clear" w:color="auto" w:fill="FFFFFF"/>
        <w:spacing w:after="300" w:line="384" w:lineRule="atLeast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 xml:space="preserve">Una delle novità più importanti della riforma del contenzioso tributario attuata con il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 </w:t>
      </w:r>
      <w:hyperlink r:id="rId7" w:tgtFrame="_blank" w:history="1">
        <w:r>
          <w:rPr>
            <w:rFonts w:ascii="Roboto Slab" w:eastAsia="Times New Roman" w:hAnsi="Roboto Slab" w:cs="Arial"/>
            <w:color w:val="337AB7"/>
            <w:sz w:val="24"/>
            <w:szCs w:val="24"/>
            <w:lang w:eastAsia="it-IT"/>
          </w:rPr>
          <w:t>156/2015</w:t>
        </w:r>
      </w:hyperlink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 concerne l’istituto del reclamo/mediazione, che, ferma restando la soglia dei 20.000 euro d’imposta, viene esteso alla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generalità dei tributi 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nonché agli avvisi di classamento.</w:t>
      </w:r>
    </w:p>
    <w:p>
      <w:pPr>
        <w:shd w:val="clear" w:color="auto" w:fill="FFFFFF"/>
        <w:spacing w:after="300" w:line="384" w:lineRule="atLeast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Nel sistema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pregresso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, ciò era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circoscritto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 ai soli atti impositivi emessi dall’Agenzia delle Entrate.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br/>
        <w:t>In futuro, dunque, saranno soggetti a reclamo/mediazione anche, a titolo esemplificativo, gli accertamenti IMU, TARI, TOSAP nonché quelli notificati dalle Camere di commercio per il recupero dei diritti camerali, o quelli relativi ai contributi consortili.</w:t>
      </w:r>
    </w:p>
    <w:p>
      <w:pPr>
        <w:shd w:val="clear" w:color="auto" w:fill="FFFFFF"/>
        <w:spacing w:after="300" w:line="384" w:lineRule="atLeast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Potrebbero emergere problemi in merito alla decorrenza, posto che, ai sensi dell’</w:t>
      </w:r>
      <w:hyperlink r:id="rId8" w:anchor="Comma1" w:tgtFrame="_blank" w:history="1">
        <w:r>
          <w:rPr>
            <w:rFonts w:ascii="Roboto Slab" w:eastAsia="Times New Roman" w:hAnsi="Roboto Slab" w:cs="Arial"/>
            <w:color w:val="337AB7"/>
            <w:sz w:val="24"/>
            <w:szCs w:val="24"/>
            <w:lang w:eastAsia="it-IT"/>
          </w:rPr>
          <w:t>art. 12</w:t>
        </w:r>
      </w:hyperlink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 xml:space="preserve">comma 1 del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 156/2015, “le disposizioni del presente decreto entrano in vigore a decorrere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dal 1° gennaio 2016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”.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br/>
        <w:t>Come già evidenziato per la riassunzione in rinvio (si veda “</w:t>
      </w:r>
      <w:hyperlink r:id="rId9" w:tgtFrame="_blank" w:history="1">
        <w:r>
          <w:rPr>
            <w:rFonts w:ascii="Roboto Slab" w:eastAsia="Times New Roman" w:hAnsi="Roboto Slab" w:cs="Arial"/>
            <w:color w:val="337AB7"/>
            <w:sz w:val="24"/>
            <w:szCs w:val="24"/>
            <w:lang w:eastAsia="it-IT"/>
          </w:rPr>
          <w:t>Nuovo termine di 6 mesi per il giudizio di rinvio senza effetto retroattivo</w:t>
        </w:r>
      </w:hyperlink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” del 7 dicembre 2015), si tratta di una disposizione che mal si presta a talune fattispecie proprie del contenzioso tributario, che, è bene rammentarlo, ha carattere </w:t>
      </w:r>
      <w:proofErr w:type="spellStart"/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impugnatorio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</w:t>
      </w:r>
    </w:p>
    <w:p>
      <w:pPr>
        <w:shd w:val="clear" w:color="auto" w:fill="FFFFFF"/>
        <w:spacing w:after="300" w:line="384" w:lineRule="atLeast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Prendendo l’esempio del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reclamo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, dal punto di vista “cronologico”, l’atto viene notificato dall’ente impositore, poi il ricorso/reclamo viene a sua volta notificato dal contribuente, e, in un momento ancora successivo depositato in segreteria.</w:t>
      </w:r>
    </w:p>
    <w:p>
      <w:pPr>
        <w:shd w:val="clear" w:color="auto" w:fill="FFFFFF"/>
        <w:spacing w:after="300" w:line="384" w:lineRule="atLeast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Quale dei menzionati tre momenti deve essere considerato ai fini dell’applicabilità del “nuovo” </w:t>
      </w:r>
      <w:hyperlink r:id="rId10" w:tgtFrame="_blank" w:history="1">
        <w:r>
          <w:rPr>
            <w:rFonts w:ascii="Roboto Slab" w:eastAsia="Times New Roman" w:hAnsi="Roboto Slab" w:cs="Arial"/>
            <w:color w:val="337AB7"/>
            <w:sz w:val="24"/>
            <w:szCs w:val="24"/>
            <w:lang w:eastAsia="it-IT"/>
          </w:rPr>
          <w:t>art. 17-</w:t>
        </w:r>
        <w:r>
          <w:rPr>
            <w:rFonts w:ascii="Roboto Slab" w:eastAsia="Times New Roman" w:hAnsi="Roboto Slab" w:cs="Arial"/>
            <w:i/>
            <w:iCs/>
            <w:color w:val="337AB7"/>
            <w:sz w:val="24"/>
            <w:szCs w:val="24"/>
            <w:lang w:eastAsia="it-IT"/>
          </w:rPr>
          <w:t>bis</w:t>
        </w:r>
      </w:hyperlink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 xml:space="preserve"> del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 546/92?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br/>
        <w:t xml:space="preserve">Siccome il contenzioso inizia con la notifica del ricorso/reclamo (tant’è che i termini propri della fase di mediazione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soggiaciono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 xml:space="preserve"> alla sospensione feriale dei termini processuali), si potrebbe asserire che la necessità del medesimo decorra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dai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ricorsi</w:t>
      </w:r>
      <w:proofErr w:type="spellEnd"/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/reclami notificati 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(facendo riferimento alla consegna dell’atto di reclamo all’ente impositore oppure alla spedizione postale) dal 1° gennaio 2016.</w:t>
      </w:r>
    </w:p>
    <w:p>
      <w:pPr>
        <w:shd w:val="clear" w:color="auto" w:fill="FFFFFF"/>
        <w:spacing w:after="300" w:line="384" w:lineRule="atLeast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lastRenderedPageBreak/>
        <w:t>Tuttavia, sposando questa interpretazione, la decorrenza, a ben vedere, sarebbe “in balia” del contribuente, che, in merito ad un atto sotto la soglia dei 20.000 euro notificato da un Comune a fine novembre 2015, potrebbe di fatto decidere se applicare o meno il reclamo, notificando l’impugnazione prima o dal 1° gennaio 2016.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br/>
        <w:t>In base ad una diversa opinione, però, si potrebbe pure affermare che sia necessario prendere come riferimento la data di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notifica dell’atto reclamabile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</w:t>
      </w:r>
    </w:p>
    <w:p>
      <w:pPr>
        <w:shd w:val="clear" w:color="auto" w:fill="FFFFFF"/>
        <w:spacing w:after="300" w:line="384" w:lineRule="atLeast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Del resto, il legislatore così ha ragionato nei pregressi interventi: si vedano gli </w:t>
      </w:r>
      <w:hyperlink r:id="rId11" w:anchor="Comma11" w:tgtFrame="_blank" w:history="1">
        <w:r>
          <w:rPr>
            <w:rFonts w:ascii="Roboto Slab" w:eastAsia="Times New Roman" w:hAnsi="Roboto Slab" w:cs="Arial"/>
            <w:color w:val="337AB7"/>
            <w:sz w:val="24"/>
            <w:szCs w:val="24"/>
            <w:lang w:eastAsia="it-IT"/>
          </w:rPr>
          <w:t>artt. 39</w:t>
        </w:r>
      </w:hyperlink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comma 11 del DL 98/2011 (relativo alla fase di prima introduzione dell’istituto, secondo cui “le disposizioni di cui al comma 9 si applicano con riferimento agli atti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suscettibili di reclamo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 notificati a decorrere dal 1° aprile 2012”) e </w:t>
      </w:r>
      <w:hyperlink r:id="rId12" w:anchor="Comma611" w:tgtFrame="_blank" w:history="1">
        <w:r>
          <w:rPr>
            <w:rFonts w:ascii="Roboto Slab" w:eastAsia="Times New Roman" w:hAnsi="Roboto Slab" w:cs="Arial"/>
            <w:color w:val="337AB7"/>
            <w:sz w:val="24"/>
            <w:szCs w:val="24"/>
            <w:lang w:eastAsia="it-IT"/>
          </w:rPr>
          <w:t>1</w:t>
        </w:r>
      </w:hyperlink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 comma 611 lettera b) della L. 147/2013 (relativa alle innovazioni apportate dalla medesima legge, secondo cui “ le modifiche di cui alla lettera a) si applicano agli atti notificati a decorrere dal sessantesimo giorno successivo all’entrata in vigore della presente legge”).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br/>
        <w:t xml:space="preserve">Come visto, però, nel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 156/2015 nulla è previsto in punto decorrenza che, pertanto, verrà individuata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in via interpretativa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</w:t>
      </w:r>
    </w:p>
    <w:p>
      <w:pPr>
        <w:shd w:val="clear" w:color="auto" w:fill="FFFFFF"/>
        <w:spacing w:line="300" w:lineRule="atLeast"/>
        <w:rPr>
          <w:rFonts w:ascii="Roboto" w:eastAsia="Times New Roman" w:hAnsi="Roboto" w:cs="Arial"/>
          <w:i/>
          <w:iCs/>
          <w:color w:val="000000"/>
          <w:sz w:val="30"/>
          <w:szCs w:val="30"/>
          <w:lang w:eastAsia="it-IT"/>
        </w:rPr>
      </w:pPr>
      <w:r>
        <w:rPr>
          <w:rFonts w:ascii="Roboto" w:eastAsia="Times New Roman" w:hAnsi="Roboto" w:cs="Arial"/>
          <w:i/>
          <w:iCs/>
          <w:color w:val="000000"/>
          <w:sz w:val="30"/>
          <w:szCs w:val="30"/>
          <w:lang w:eastAsia="it-IT"/>
        </w:rPr>
        <w:t>Nei casi dubbi optare per il ricorso</w:t>
      </w:r>
    </w:p>
    <w:p>
      <w:pPr>
        <w:shd w:val="clear" w:color="auto" w:fill="FFFFFF"/>
        <w:spacing w:after="300" w:line="384" w:lineRule="atLeast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Il problema che, potenzialmente, emerge, riguarda il rischio di inammissibilità del ricorso per tardiva costituzione in giudizio. Se opera l’art. 17-</w:t>
      </w:r>
      <w:r>
        <w:rPr>
          <w:rFonts w:ascii="Roboto Slab" w:eastAsia="Times New Roman" w:hAnsi="Roboto Slab" w:cs="Arial"/>
          <w:i/>
          <w:iCs/>
          <w:color w:val="000000"/>
          <w:sz w:val="24"/>
          <w:szCs w:val="24"/>
          <w:lang w:eastAsia="it-IT"/>
        </w:rPr>
        <w:t>bis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 xml:space="preserve"> del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 546/92, notificato il reclamo, il contribuente non deposita il ricorso prima del decorso di 90 giorni dalla notifica dello stesso, mentre nelle situazioni ordinarie il deposito deve avvenire entro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30 giorni dalla notifica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br/>
        <w:t>Infatti, se il contribuente ritenesse la lite reclamabile e depositasse, quindi, il ricorso in Commissione dopo 90 giorni dalla notifica a controparte, ove il giudice ritenesse la lite non reclamabile, il ricorso sarebbe dichiarato inammissibile per non aver effettuato la costituzione in giudizio rispettando il termine dei trenta giorni.</w:t>
      </w:r>
    </w:p>
    <w:p>
      <w:pPr>
        <w:shd w:val="clear" w:color="auto" w:fill="FFFFFF"/>
        <w:spacing w:after="300" w:line="384" w:lineRule="atLeast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Due sono le considerazioni che possono essere fatte.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br/>
        <w:t>In primo luogo, stante l’incertezza vigente in punto decorrenza, l’inammissibilità per tardivo deposito del ricorso potrebbe essere scongiurata dalla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rimessione in termini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(prevista in termini generai dall’</w:t>
      </w:r>
      <w:hyperlink r:id="rId13" w:tgtFrame="_blank" w:history="1">
        <w:r>
          <w:rPr>
            <w:rFonts w:ascii="Roboto Slab" w:eastAsia="Times New Roman" w:hAnsi="Roboto Slab" w:cs="Arial"/>
            <w:color w:val="337AB7"/>
            <w:sz w:val="24"/>
            <w:szCs w:val="24"/>
            <w:lang w:eastAsia="it-IT"/>
          </w:rPr>
          <w:t>art. 153</w:t>
        </w:r>
      </w:hyperlink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 del codice di procedura civile).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br/>
        <w:t>In secondo luogo, prudenzialmente, il difensore potrebbe notificare, nei casi dubbi, il ricorso/reclamo, depositandolo, però, nei trenta giorni successivi (anziché attendere il decorso dei 90 previsti): così, se la lite venisse ritenuta, a torto o a ragione, reclamabile, alcuna inammissibilità potrebbe verificarsi, dovendo il giudice limitarsi a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rinviare l’udienza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 per consentire la mediazione.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8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94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4296">
                  <w:marLeft w:val="0"/>
                  <w:marRight w:val="0"/>
                  <w:marTop w:val="450"/>
                  <w:marBottom w:val="450"/>
                  <w:divBdr>
                    <w:top w:val="single" w:sz="12" w:space="4" w:color="CCCCCC"/>
                    <w:left w:val="none" w:sz="0" w:space="0" w:color="auto"/>
                    <w:bottom w:val="single" w:sz="12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ekne.it/Servizi/RassegnaLeggi/Recensione_Articolo.aspx?IDLegge=13828&amp;IDArticolo=338779&amp;IDSrc=100" TargetMode="External"/><Relationship Id="rId13" Type="http://schemas.openxmlformats.org/officeDocument/2006/relationships/hyperlink" Target="http://www.eutekne.it/Servizi/RassegnaLeggi/Recensione_Articolo.aspx?IDLegge=5354&amp;IDArticolo=60810&amp;IDSrc=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tekne.it/Servizi/RassegnaLeggi/Recensione_Leggi.aspx?IDLegge=13828&amp;IDSrc=100" TargetMode="External"/><Relationship Id="rId12" Type="http://schemas.openxmlformats.org/officeDocument/2006/relationships/hyperlink" Target="http://www.eutekne.it/Servizi/RassegnaLeggi/Recensione_Articolo.aspx?IDLegge=12201&amp;IDArticolo=289449&amp;IDSrc=1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tekne.info/Sezioni/Autore_chiara_ruffino.aspx?idrecensore=542" TargetMode="External"/><Relationship Id="rId11" Type="http://schemas.openxmlformats.org/officeDocument/2006/relationships/hyperlink" Target="http://www.eutekne.it/Servizi/RassegnaLeggi/Recensione_Articolo.aspx?IDLegge=10138&amp;IDArticolo=230253&amp;IDSrc=100" TargetMode="External"/><Relationship Id="rId5" Type="http://schemas.openxmlformats.org/officeDocument/2006/relationships/hyperlink" Target="http://www.eutekne.info/Sezioni/Autore_alfio_cissello.aspx?idrecensore=1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utekne.it/Servizi/RassegnaLeggi/Recensione_Articolo.aspx?IDLegge=5&amp;IDArticolo=230429&amp;IDSrc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tekne.it/Servizi/EutekneInfo/Recensione.aspx?ID=5402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2015-12-14T14:38:00Z</dcterms:created>
  <dcterms:modified xsi:type="dcterms:W3CDTF">2015-12-14T14:40:00Z</dcterms:modified>
</cp:coreProperties>
</file>