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after="225" w:line="240" w:lineRule="auto"/>
        <w:textAlignment w:val="baseline"/>
        <w:outlineLvl w:val="0"/>
        <w:rPr>
          <w:rFonts w:ascii="Helvetica" w:eastAsia="Times New Roman" w:hAnsi="Helvetica" w:cs="Helvetica"/>
          <w:caps/>
          <w:color w:val="3666A4"/>
          <w:kern w:val="36"/>
          <w:sz w:val="42"/>
          <w:szCs w:val="42"/>
          <w:lang w:eastAsia="it-IT"/>
        </w:rPr>
      </w:pPr>
      <w:r>
        <w:rPr>
          <w:rFonts w:ascii="Helvetica" w:eastAsia="Times New Roman" w:hAnsi="Helvetica" w:cs="Helvetica"/>
          <w:caps/>
          <w:color w:val="3666A4"/>
          <w:kern w:val="36"/>
          <w:sz w:val="42"/>
          <w:szCs w:val="42"/>
          <w:lang w:eastAsia="it-IT"/>
        </w:rPr>
        <w:t>REVERSE CHARGE IN EDILIZIA: TUTTI I CHIARIMENTI DELL’AGENZIA</w:t>
      </w:r>
    </w:p>
    <w:p>
      <w:pPr>
        <w:shd w:val="clear" w:color="auto" w:fill="FFFFFF"/>
        <w:spacing w:after="225" w:line="240" w:lineRule="auto"/>
        <w:textAlignment w:val="baseline"/>
        <w:outlineLvl w:val="1"/>
        <w:rPr>
          <w:rFonts w:ascii="Helvetica" w:eastAsia="Times New Roman" w:hAnsi="Helvetica" w:cs="Helvetica"/>
          <w:color w:val="194265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194265"/>
          <w:sz w:val="27"/>
          <w:szCs w:val="27"/>
          <w:lang w:eastAsia="it-IT"/>
        </w:rPr>
        <w:t>Introdotta la clausola di salvaguardia: nessuna sanzione fino al 22.12.2015</w:t>
      </w:r>
    </w:p>
    <w:p>
      <w:pPr>
        <w:shd w:val="clear" w:color="auto" w:fill="FFFFFF"/>
        <w:spacing w:after="0" w:line="234" w:lineRule="atLeast"/>
        <w:ind w:right="225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4C4C4C"/>
          <w:sz w:val="18"/>
          <w:szCs w:val="18"/>
          <w:lang w:eastAsia="it-IT"/>
        </w:rPr>
      </w:pPr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E’ proprio il caso di dirlo, finalmente un nuovo intervento dell’Agenzia delle Entrate sulle nuove ipotesi di reverse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 introdotte dalla Legge di Stabilità 2015 (L. 190/2014). Il primo intervento dell’Agenzia (C.M. 14/E/2015) se da un lato aveva dato risposta a numerosi dubbi applicativi (individuazione prestazioni assoggettabili al nuovo reverse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, l’applicabilità del reverse </w:t>
      </w:r>
      <w:proofErr w:type="spellStart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Times New Roman"/>
          <w:color w:val="4C4C4C"/>
          <w:sz w:val="18"/>
          <w:szCs w:val="18"/>
          <w:bdr w:val="none" w:sz="0" w:space="0" w:color="auto" w:frame="1"/>
          <w:lang w:eastAsia="it-IT"/>
        </w:rPr>
        <w:t xml:space="preserve"> alla manutenzione di impianti relativi ad edifici), aveva lasciato numerose questioni aperte. Ora la C.M. 37/E/2015 chiarisce alcune questioni rimaste in sospeso.</w:t>
      </w:r>
      <w:r>
        <w:rPr>
          <w:rFonts w:ascii="Roboto" w:eastAsia="Times New Roman" w:hAnsi="Roboto" w:cs="Times New Roman"/>
          <w:color w:val="4C4C4C"/>
          <w:sz w:val="20"/>
          <w:szCs w:val="20"/>
          <w:bdr w:val="none" w:sz="0" w:space="0" w:color="auto" w:frame="1"/>
          <w:lang w:eastAsia="it-IT"/>
        </w:rPr>
        <w:br/>
      </w:r>
    </w:p>
    <w:p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</w:pPr>
      <w:bookmarkStart w:id="0" w:name="_GoBack"/>
      <w:bookmarkEnd w:id="0"/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Prima di illustrarvi i chiarimenti forniti dall’Agenzia, una nota positiva (con conseguente sospiro di sollievo): sono fatti salvi, con conseguente mancata applicazione di sanzioni, eventuali comportamenti difformi adottati dai contribuenti, anteriormente all’emanazione del presente documento di prassi. Fino al 22.12.2015 nessuna sanzione.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Prestazioni miste -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 Una di queste riguardava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la gestione delle prestazioni miste con l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’auspicio da più parti dell’applicazione generalizzate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 delle modalità ordinarie anche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per le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manutenzioni straordinarie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 E’ proprio questo uno dei principali chiarimenti forniti dall’Agenzia: vada per l’attrazione della manutenzione straordinaria alle regole ordinarie, ma limitatamente agli interventi edilizi di frazionamento e accorpamento (articolo 17, comma 1, del DL n. 133 del 2014).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Nessuna applicazione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 anche in presenza di un contratto unico avente ad oggetto </w:t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la realizzazione di una nuova costruzione, previa demolizione di un vecchio edificio,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 non si dovrà procedere alla scomposizione del contratto, distinguendo l’attività di demolizione, ma si applicherà l’IVA secondo le modalità ordinarie all’intera fattispecie contrattuale.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Distinzione tra fornitura con posa in opera e prestazione di servizi -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Per quanto riguarda l’annosa questione relativa alla distinzione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tra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fornitura</w:t>
      </w:r>
      <w:proofErr w:type="spellEnd"/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con posa in opera e prestazione di servizi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l’Agenzia non fornisce particolari elementi di novità ma si limita, come già fatto nella C.M. 14/E/2015, a fornire, in linea con gli orientamenti della Corte di Giustizia Europea, i criteri da seguire per distinguere le due fattispecie. In linea di principio, afferma l’Agenzia, quando il programma negoziale ha quale scopo principale la cessione di un bene e l’esecuzione dell’opera sia esclusivamente diretta a consentirne la fruizione, senza modificarne la natura, il contratto è senz’altro qualificabile quale cessione con posa in opera.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La nozione di edifico: la posizione dell’Agenzia non si ammorbidisce –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 L’altra questione fonte di notevoli dubbi applicativi che su queste pagine abbiamo sollevato più volte, riguardava la nozione di edificio a cui far riferimento. Nella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C.M. 14/E/2015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, per quanto riguarda la definizione di “edificio” l’Amministrazione Finanziaria ha sostenuto debba farsi riferimento all’articolo 2 del Decreto Legislativo 19 agosto 2005, n. 192, recante “</w:t>
      </w:r>
      <w:r>
        <w:rPr>
          <w:rFonts w:ascii="inherit" w:eastAsia="Times New Roman" w:hAnsi="inherit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>Attuazione della Direttiva 2002/91/CE relativa al rendimento energetico nell’edilizia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”, che definisce l’edificio come “</w:t>
      </w:r>
      <w:r>
        <w:rPr>
          <w:rFonts w:ascii="inherit" w:eastAsia="Times New Roman" w:hAnsi="inherit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>un sistema costituito dalle strutture edilizie esterne che delimitano uno spazio di volume definito, dalle strutture interne che ripartiscono detto volume e da tutti gli impianti e dispositivi tecnologici che si trovano stabilmente al suo interno; la superficie esterna che delimita un edificio può confinare con tutti o alcuni di questi elementi: l’ambiente esterno, il terreno, altri edifici; il termine può riferirsi a un intero edificio ovvero a parti di edificio progettate o ristrutturate per essere utilizzate come unità immobiliari a sé stanti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”.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In linea con tale definizione, gli interventi effettuati sui parcheggi erano esclusi dall’applicazione del meccanismo dell’inversione contabile. Tale dato è confermato nel documento di prassi in esame, ad eccezione del caso in cui il parcheggio costituisca parte integrante dell’edificio, come nel caso dei parcheggi interrati nell’edificio e di quelli collocati sul lastrico solare dello stesso, e sempre che si tratti di prestazioni di servizi di cui alla citata lettera a-ter), aventi ad oggetto i parcheggi.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Servizi di derattizzazione esclusi dal reverse </w:t>
      </w:r>
      <w:proofErr w:type="spellStart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–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Altro chiarimento riguarda l’esclusione dei servizi di derattizzazione dall’applicazione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. Nella C.M. 14/E/2015, l’Amministrazione Finanziaria, nel definire le prestazioni di pulizia di edifici da assoggettare a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, non ha incluso le attività di disinfestazione. Dal meccanismo in esame risultano quindi escluse le attività di disinfestazione (codice attività 81.29.10), tra le quali vanno ricomprese le attività di derattizzazione.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Il collegamento tra l’impianto e l’edificio -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Secondo la DRE Emilia Romagna (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protocollo 954-784/2015 del 21 ottobre 2015)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 per individuare il necessario collegamento tra l’impianto e l’edificio per l’applicazione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 deve farsi riferimento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al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collegamento</w:t>
      </w:r>
      <w:proofErr w:type="spellEnd"/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funzionale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. In altre parole, il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 può applicarsi se l’impianto serve al funzionamento dell'edificio autonomamente considerato, a prescindere dalla sua ubicazione.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Tale questione è di estrema rilevanza e sta creando numerose difficoltà agli operatori. Si pensi al seguente caso: realizzazione di un intervento di manutenzione su un impianto di condizionamento situato all’esterno dell’edificio. Ora è evidente che l’impianto di condizionamento ha la finalità di fornire calore o refrigerio all’interno dell’edificio. Ma la sua collocazione all’esterno dell’edifico rende difficile poter ipotizzare l’applicazione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Ecco che arriva anche su tale questione la presa di posizione dell’Agenzia: l’Agenzia conferma la tesi della DRE Emilia Romagna e afferma che “</w:t>
      </w:r>
      <w:r>
        <w:rPr>
          <w:rFonts w:ascii="Roboto" w:eastAsia="Times New Roman" w:hAnsi="Roboto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 xml:space="preserve">ogni qual volta l’installazione di un impianto sia funzionale o servente all’edificio, anche se parte dell’impianto è posizionato all’esterno dello stesso, deve trovare applicazione il meccanismo del reverse </w:t>
      </w:r>
      <w:proofErr w:type="spellStart"/>
      <w:r>
        <w:rPr>
          <w:rFonts w:ascii="Roboto" w:eastAsia="Times New Roman" w:hAnsi="Roboto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 xml:space="preserve">, ai sensi della </w:t>
      </w:r>
      <w:proofErr w:type="spellStart"/>
      <w:r>
        <w:rPr>
          <w:rFonts w:ascii="Roboto" w:eastAsia="Times New Roman" w:hAnsi="Roboto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>lett</w:t>
      </w:r>
      <w:proofErr w:type="spellEnd"/>
      <w:r>
        <w:rPr>
          <w:rFonts w:ascii="Roboto" w:eastAsia="Times New Roman" w:hAnsi="Roboto" w:cs="Helvetica"/>
          <w:i/>
          <w:iCs/>
          <w:color w:val="4C4C4C"/>
          <w:sz w:val="18"/>
          <w:szCs w:val="18"/>
          <w:bdr w:val="none" w:sz="0" w:space="0" w:color="auto" w:frame="1"/>
          <w:lang w:eastAsia="it-IT"/>
        </w:rPr>
        <w:t>. a-ter) dell’articolo 17, sesto comma, del DPR n. 633 del 1972”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In linea con tale definizione, viene anche affermato che deve applicarsi il meccanismo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 anche </w:t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all’installazione di impianti fotovoltaici “a terra”,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 sempre che questi ultimi, ancorché posizionati all’esterno dell’edificio, siano funzionali o serventi allo stesso.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Prestazioni rese da soggetti terzi -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Qualora le prestazioni rese da soggetti terzi, su incarico della società che commercializza i beni, siano riconducibili - sotto il profilo oggettivo - ai servizi di installazione di impianti e completamento di edifici ex articolo 17, sesto comma,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lett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. a-ter), e rientrino nei codici di attività di cui alla Tabella ATECO 2007 (cfr. circolare n. 14/E del 2015), tali prestazioni devono essere assoggettate al meccanismo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lastRenderedPageBreak/>
        <w:t xml:space="preserve">Reverse </w:t>
      </w:r>
      <w:proofErr w:type="spellStart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e beni significativi – 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A parere dell’Agenzia, la disposizione agevolativa in materia di aliquota prevista per i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beni significativi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, riguardando esclusivamente prestazioni effettuate nei confronti dei consumatori finali, non possa trovare applicazione nelle ipotesi di cui alla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lett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 a-ter), sesto comma, dell’articolo 17 del citato DPR n. 633 del 1972, che, riguarda i soli rapporti tra soggetti passivi d’imposta. Con tale interpretazione l’Agenzia qualifica come consumatori finali solo i privati, posizione non affatto condivisibile.</w:t>
      </w:r>
      <w:r>
        <w:rPr>
          <w:rFonts w:ascii="inherit" w:eastAsia="Times New Roman" w:hAnsi="inherit" w:cs="Helvetica"/>
          <w:color w:val="4C4C4C"/>
          <w:sz w:val="18"/>
          <w:szCs w:val="18"/>
          <w:lang w:eastAsia="it-IT"/>
        </w:rPr>
        <w:br/>
      </w:r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Rapporto tra operazioni non imponibili e meccanismo del reverse </w:t>
      </w:r>
      <w:proofErr w:type="spellStart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 –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 Altro importante chiarimento fornito dall’Agenzia riguarda l’applicazione del meccanismo del reverse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 nei casi in cui le prestazioni individuate dall’articolo 17, sesto comma,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lett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 a-ter), del DPR n. 633 del 1972 siano, agli effetti dell’IVA,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operazioni non imponibili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 xml:space="preserve">. In tali casi, i servizi in questione, ancorché riconducibili, in via di principio, nell’ambito applicativo dell’articolo 17, sesto comma, </w:t>
      </w:r>
      <w:proofErr w:type="spellStart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lett</w:t>
      </w:r>
      <w:proofErr w:type="spellEnd"/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. a-ter), del DPR n. 633 del 1972, </w:t>
      </w:r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 xml:space="preserve">non sono soggetti al meccanismo del reverse </w:t>
      </w:r>
      <w:proofErr w:type="spellStart"/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charge</w:t>
      </w:r>
      <w:proofErr w:type="spellEnd"/>
      <w:r>
        <w:rPr>
          <w:rFonts w:ascii="inherit" w:eastAsia="Times New Roman" w:hAnsi="inherit" w:cs="Helvetica"/>
          <w:b/>
          <w:bCs/>
          <w:color w:val="4C4C4C"/>
          <w:sz w:val="18"/>
          <w:szCs w:val="18"/>
          <w:bdr w:val="none" w:sz="0" w:space="0" w:color="auto" w:frame="1"/>
          <w:lang w:eastAsia="it-IT"/>
        </w:rPr>
        <w:t>,</w:t>
      </w:r>
      <w:r>
        <w:rPr>
          <w:rFonts w:ascii="Roboto" w:eastAsia="Times New Roman" w:hAnsi="Roboto" w:cs="Helvetica"/>
          <w:color w:val="4C4C4C"/>
          <w:sz w:val="18"/>
          <w:szCs w:val="18"/>
          <w:bdr w:val="none" w:sz="0" w:space="0" w:color="auto" w:frame="1"/>
          <w:lang w:eastAsia="it-IT"/>
        </w:rPr>
        <w:t> trattandosi di servizi non imponibili.</w:t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2015-12-23T07:48:00Z</dcterms:created>
  <dcterms:modified xsi:type="dcterms:W3CDTF">2015-12-23T07:50:00Z</dcterms:modified>
</cp:coreProperties>
</file>