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aps/>
          <w:color w:val="3666A4"/>
          <w:kern w:val="36"/>
          <w:sz w:val="42"/>
          <w:szCs w:val="42"/>
          <w:lang w:eastAsia="it-IT"/>
        </w:rPr>
      </w:pPr>
      <w:bookmarkStart w:id="0" w:name="_GoBack"/>
      <w:r>
        <w:rPr>
          <w:rFonts w:ascii="Helvetica" w:eastAsia="Times New Roman" w:hAnsi="Helvetica" w:cs="Helvetica"/>
          <w:caps/>
          <w:color w:val="3666A4"/>
          <w:kern w:val="36"/>
          <w:sz w:val="42"/>
          <w:szCs w:val="42"/>
          <w:lang w:eastAsia="it-IT"/>
        </w:rPr>
        <w:t>LEGGE DI STABILITÀ: ARRIVA IN G.U.</w:t>
      </w:r>
    </w:p>
    <w:p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94265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color w:val="194265"/>
          <w:sz w:val="27"/>
          <w:szCs w:val="27"/>
          <w:lang w:eastAsia="it-IT"/>
        </w:rPr>
        <w:t>Nella Serie Generale n.302 di ieri il testo definitivo della Manovra</w:t>
      </w:r>
    </w:p>
    <w:bookmarkEnd w:id="0"/>
    <w:p>
      <w:pPr>
        <w:shd w:val="clear" w:color="auto" w:fill="FFFFFF"/>
        <w:spacing w:after="0" w:line="234" w:lineRule="atLeast"/>
        <w:ind w:right="225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Premessa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 – Pubblicata nella GU Serie Generale n. 302 del 30-12-2015 - </w:t>
      </w:r>
      <w:proofErr w:type="spellStart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Suppl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. Ordinario n. 70 la Legge 28 dicembre 2015, n. 208 - Disposizioni per la formazione del bilancio annuale e pluriennale dello Stato (legge di stabilità 2016).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Il testo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– Il testo della Legge di Stabilità 2016 si compone di un articolo unico e 999 commi. I commi sono divisi in cinque parti: commi 1-225 (parte 1); commi 226-472 (parte 2); commi 473-713 (parte 3); commi 714-962 (parte 4); commi 963-999 (parte 5). Confermati tutti i provvedimenti già commentanti in questi giorni.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Tasi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- Eliminazione della TASI per i proprietari e per gli inquilini sugli immobili residenziali adibiti ad abitazione principale, ad eccezione delle abitazioni di lusso; la casa assegnata al coniuge in caso di separazione o divorzio per gli immobili sarà assimilata alla all'abitazione principale; per gli immobili locati a canone concordato l'IMU e la TASI sono ridotte del 25%. Per immobili concessi in comodato a genitori o figli è prevista la riduzione del 50% della base imponibile IMU (il beneficio vale anche per la seconda casa posseduta nello stesso comune adibita ad abitazione principale).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Super ammortamento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– Confermato per imprese e professionisti l’ammortamento del 140% per beni materiali strumentali nuovi acquistati dal 15 ottobre 2015 al 31 dicembre 2016.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Canone Rai in bolletta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– Confermata anche la misura che punta a ridurre l’evasione della “tassa” sul servizio radiotelevisivo e la riduzione dell’importo del canone che passa da 113,50 a 100 euro. Il pagamento avverrà dunque con addebito sulle fatture emesse dalle aziende di distribuzione di energia elettrica e sarà diviso in 10 rate mensili tra gennaio e ottobre.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Limite al contante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 - Dal prossimo 1° gennaio sarà possibile pagare in contanti fino a 2.999,99 euro. Nel passaggio in Senato della Manovra è stato previsto, però, che il limite dei mille euro resti per chi esercita il servizio di rimessa di denaro con l’estero, più comunemente conosciuti come </w:t>
      </w:r>
      <w:proofErr w:type="spellStart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money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 transfer. Sempre in tema di pagamenti elettronici, viene esteso l’obbligo per i commercianti e i professionisti di accettare pagamenti anche mediante carte di credito, oltre che di debito, tranne nei casi di oggettiva impossibilità tecnica. Dal 1° luglio 2016 l’obbligo di accettare pagamenti con moneta elettronica riguarderà anche i dispositivi di controllo di durata della sosta.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Credito sud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- Limitatamente a Campania, Puglia, Basilicata, Calabria, Sicilia, Molise, Sardegna e Abruzzo viene introdotto un credito d’imposta per l’acquisto di beni strumentali, anche tramite leasing, dal 1° gennaio 2016 al 31 dicembre 2019, differenziato in base alle dimensioni aziendali: 20 per cento per le piccole imprese, 15% per le medie, 10 per le grandi.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Leasing immobiliare ad uso abitativo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– È prevista la deducibilità a fini IRPEF nella misura del 19% dei canoni di leasing fino a 8.000 euro, nonché del costo di acquisto dell'immobile all'esercizio dell'opzione finale fino a 20.000 euro.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Regime forfetario (ex minimi)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- Elevate le soglie di ricavi per l'accesso al regime forfetario di imposta del 15%; per i professionisti si passa da 15.000 a 30.000.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Modifiche alla no </w:t>
      </w:r>
      <w:proofErr w:type="spellStart"/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tax</w:t>
      </w:r>
      <w:proofErr w:type="spellEnd"/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 area</w:t>
      </w:r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: Per i pensionati over 75 anni passa da 7.500 a 8.000 euro, per i contribuenti di età compresa tra 70 e 75 anni passa da 7.500 a 7.750 euro.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</w:pP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  <w:r>
        <w:rPr>
          <w:rFonts w:ascii="inherit" w:eastAsia="Times New Roman" w:hAnsi="inherit" w:cs="Helvetica"/>
          <w:color w:val="4C4C4C"/>
          <w:sz w:val="18"/>
          <w:szCs w:val="18"/>
          <w:lang w:eastAsia="it-IT"/>
        </w:rPr>
        <w:br/>
      </w:r>
    </w:p>
    <w:p>
      <w:pPr>
        <w:shd w:val="clear" w:color="auto" w:fill="FFFFFF"/>
        <w:spacing w:line="207" w:lineRule="atLeast"/>
        <w:jc w:val="both"/>
        <w:textAlignment w:val="baseline"/>
        <w:rPr>
          <w:rFonts w:ascii="inherit" w:eastAsia="Times New Roman" w:hAnsi="inherit" w:cs="Times New Roman"/>
          <w:color w:val="4C4C4C"/>
          <w:sz w:val="18"/>
          <w:szCs w:val="18"/>
          <w:lang w:eastAsia="it-IT"/>
        </w:rPr>
      </w:pPr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 xml:space="preserve">Taglio </w:t>
      </w:r>
      <w:proofErr w:type="spellStart"/>
      <w:r>
        <w:rPr>
          <w:rFonts w:ascii="Roboto" w:eastAsia="Times New Roman" w:hAnsi="Roboto" w:cs="Times New Roman"/>
          <w:b/>
          <w:bCs/>
          <w:color w:val="4C4C4C"/>
          <w:sz w:val="18"/>
          <w:szCs w:val="18"/>
          <w:bdr w:val="none" w:sz="0" w:space="0" w:color="auto" w:frame="1"/>
          <w:lang w:eastAsia="it-IT"/>
        </w:rPr>
        <w:t>Ires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 -Il governo è intenzionato a tagliare l'</w:t>
      </w:r>
      <w:proofErr w:type="spellStart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Ires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 xml:space="preserve">, l'imposta sui redditi societari, ma solo a partire dal 2017. Fra due anni, l'aliquota scenderà infatti dall'attuale 27,5% al 24%. La riduzione dell'imposta non verrà anticipata invece al 2016, cioè prima del previsto, come prospettato inizialmente dal premier </w:t>
      </w:r>
      <w:proofErr w:type="spellStart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Renzi</w:t>
      </w:r>
      <w:proofErr w:type="spellEnd"/>
      <w:r>
        <w:rPr>
          <w:rFonts w:ascii="Roboto" w:eastAsia="Times New Roman" w:hAnsi="Roboto" w:cs="Times New Roman"/>
          <w:color w:val="4C4C4C"/>
          <w:sz w:val="18"/>
          <w:szCs w:val="18"/>
          <w:bdr w:val="none" w:sz="0" w:space="0" w:color="auto" w:frame="1"/>
          <w:lang w:eastAsia="it-IT"/>
        </w:rPr>
        <w:t>. Il governo preferisce invece stanziare 2 miliardi per la sicurezza.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2015-12-31T07:56:00Z</dcterms:created>
  <dcterms:modified xsi:type="dcterms:W3CDTF">2015-12-31T07:58:00Z</dcterms:modified>
</cp:coreProperties>
</file>