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40" w:lineRule="auto"/>
        <w:jc w:val="center"/>
        <w:outlineLvl w:val="4"/>
        <w:rPr>
          <w:rFonts w:ascii="Lucida Sans" w:eastAsia="Times New Roman" w:hAnsi="Lucida Sans" w:cs="Times New Roman"/>
          <w:b/>
          <w:bCs/>
          <w:color w:val="333333"/>
          <w:sz w:val="15"/>
          <w:szCs w:val="15"/>
          <w:lang w:eastAsia="it-IT"/>
        </w:rPr>
      </w:pPr>
      <w:r>
        <w:rPr>
          <w:rFonts w:ascii="Lucida Sans" w:eastAsia="Times New Roman" w:hAnsi="Lucida Sans" w:cs="Times New Roman"/>
          <w:b/>
          <w:bCs/>
          <w:color w:val="333333"/>
          <w:sz w:val="15"/>
          <w:szCs w:val="15"/>
          <w:lang w:eastAsia="it-IT"/>
        </w:rPr>
        <w:t>3 Aprile 2015</w:t>
      </w:r>
    </w:p>
    <w:p>
      <w:pPr>
        <w:shd w:val="clear" w:color="auto" w:fill="FFFFFF"/>
        <w:spacing w:after="0" w:line="240" w:lineRule="auto"/>
        <w:jc w:val="center"/>
        <w:outlineLvl w:val="0"/>
        <w:rPr>
          <w:rFonts w:ascii="Lucida Sans" w:eastAsia="Times New Roman" w:hAnsi="Lucida Sans" w:cs="Times New Roman"/>
          <w:b/>
          <w:bCs/>
          <w:color w:val="990033"/>
          <w:kern w:val="36"/>
          <w:sz w:val="36"/>
          <w:szCs w:val="36"/>
          <w:lang w:eastAsia="it-IT"/>
        </w:rPr>
      </w:pPr>
      <w:r>
        <w:rPr>
          <w:rFonts w:ascii="Lucida Sans" w:eastAsia="Times New Roman" w:hAnsi="Lucida Sans" w:cs="Times New Roman"/>
          <w:b/>
          <w:bCs/>
          <w:color w:val="990033"/>
          <w:kern w:val="36"/>
          <w:sz w:val="36"/>
          <w:szCs w:val="36"/>
          <w:lang w:eastAsia="it-IT"/>
        </w:rPr>
        <w:t xml:space="preserve">Società estinte: il D.L. Semplificazioni non è </w:t>
      </w:r>
      <w:bookmarkStart w:id="0" w:name="_GoBack"/>
      <w:bookmarkEnd w:id="0"/>
      <w:r>
        <w:rPr>
          <w:rFonts w:ascii="Lucida Sans" w:eastAsia="Times New Roman" w:hAnsi="Lucida Sans" w:cs="Times New Roman"/>
          <w:b/>
          <w:bCs/>
          <w:color w:val="990033"/>
          <w:kern w:val="36"/>
          <w:sz w:val="36"/>
          <w:szCs w:val="36"/>
          <w:lang w:eastAsia="it-IT"/>
        </w:rPr>
        <w:t>retroattivo</w:t>
      </w:r>
    </w:p>
    <w:p>
      <w:pPr>
        <w:shd w:val="clear" w:color="auto" w:fill="FFFFFF"/>
        <w:spacing w:after="0" w:line="240" w:lineRule="auto"/>
        <w:jc w:val="center"/>
        <w:outlineLvl w:val="2"/>
        <w:rPr>
          <w:rFonts w:ascii="Lucida Sans" w:eastAsia="Times New Roman" w:hAnsi="Lucida Sans" w:cs="Times New Roman"/>
          <w:color w:val="005292"/>
          <w:sz w:val="21"/>
          <w:szCs w:val="21"/>
          <w:lang w:eastAsia="it-IT"/>
        </w:rPr>
      </w:pPr>
      <w:r>
        <w:rPr>
          <w:rFonts w:ascii="Lucida Sans" w:eastAsia="Times New Roman" w:hAnsi="Lucida Sans" w:cs="Times New Roman"/>
          <w:color w:val="005292"/>
          <w:sz w:val="21"/>
          <w:szCs w:val="21"/>
          <w:lang w:eastAsia="it-IT"/>
        </w:rPr>
        <w:t>Cassazione Tributaria, sentenza depositata il 2 aprile 2015</w:t>
      </w:r>
    </w:p>
    <w:p>
      <w:pPr>
        <w:shd w:val="clear" w:color="auto" w:fill="FFFFFF"/>
        <w:spacing w:after="0" w:line="240" w:lineRule="auto"/>
        <w:rPr>
          <w:rFonts w:ascii="inherit" w:eastAsia="Times New Roman" w:hAnsi="inherit" w:cs="Times New Roman"/>
          <w:color w:val="333333"/>
          <w:sz w:val="15"/>
          <w:szCs w:val="15"/>
          <w:lang w:eastAsia="it-IT"/>
        </w:rPr>
      </w:pPr>
    </w:p>
    <w:p>
      <w:pPr>
        <w:shd w:val="clear" w:color="auto" w:fill="FFFFFF"/>
        <w:spacing w:after="0" w:line="240" w:lineRule="auto"/>
        <w:jc w:val="both"/>
        <w:rPr>
          <w:rFonts w:ascii="inherit" w:eastAsia="Times New Roman" w:hAnsi="inherit" w:cs="Times New Roman"/>
          <w:color w:val="333333"/>
          <w:sz w:val="20"/>
          <w:szCs w:val="20"/>
          <w:lang w:eastAsia="it-IT"/>
        </w:rPr>
      </w:pPr>
      <w:r>
        <w:rPr>
          <w:rFonts w:ascii="inherit" w:eastAsia="Times New Roman" w:hAnsi="inherit" w:cs="Times New Roman"/>
          <w:color w:val="333333"/>
          <w:sz w:val="20"/>
          <w:szCs w:val="20"/>
          <w:lang w:eastAsia="it-IT"/>
        </w:rPr>
        <w:t>Le disposizioni in materia di società estinte, introdotte dal decreto legislativo n. 175/14 - c.d. Semplificazioni -, non hanno efficacia retroattiva, quindi non si applicano alle società (di capitali o di persone) che abbiano fatto richiesta di cancellazione dal Registro delle imprese prima della data di entrata in vigore del suddetto decreto (13 dicembre 2014). È quanto afferma la </w:t>
      </w:r>
      <w:r>
        <w:rPr>
          <w:rFonts w:ascii="inherit" w:eastAsia="Times New Roman" w:hAnsi="inherit" w:cs="Times New Roman"/>
          <w:b/>
          <w:bCs/>
          <w:color w:val="333333"/>
          <w:sz w:val="20"/>
          <w:szCs w:val="20"/>
          <w:bdr w:val="none" w:sz="0" w:space="0" w:color="auto" w:frame="1"/>
          <w:lang w:eastAsia="it-IT"/>
        </w:rPr>
        <w:t>sentenza n. 6743/15 della Sezione Tributaria della Cassazione</w:t>
      </w:r>
      <w:r>
        <w:rPr>
          <w:rFonts w:ascii="inherit" w:eastAsia="Times New Roman" w:hAnsi="inherit" w:cs="Times New Roman"/>
          <w:color w:val="333333"/>
          <w:sz w:val="20"/>
          <w:szCs w:val="20"/>
          <w:lang w:eastAsia="it-IT"/>
        </w:rPr>
        <w:t>, pubblicata ieri.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La cancellazione di una società di capitali dal Registro delle imprese ha </w:t>
      </w:r>
      <w:r>
        <w:rPr>
          <w:rFonts w:ascii="inherit" w:eastAsia="Times New Roman" w:hAnsi="inherit" w:cs="Times New Roman"/>
          <w:b/>
          <w:bCs/>
          <w:color w:val="333333"/>
          <w:sz w:val="20"/>
          <w:szCs w:val="20"/>
          <w:bdr w:val="none" w:sz="0" w:space="0" w:color="auto" w:frame="1"/>
          <w:lang w:eastAsia="it-IT"/>
        </w:rPr>
        <w:t>efficacia costitutiva</w:t>
      </w:r>
      <w:r>
        <w:rPr>
          <w:rFonts w:ascii="inherit" w:eastAsia="Times New Roman" w:hAnsi="inherit" w:cs="Times New Roman"/>
          <w:color w:val="333333"/>
          <w:sz w:val="20"/>
          <w:szCs w:val="20"/>
          <w:lang w:eastAsia="it-IT"/>
        </w:rPr>
        <w:t>, nel senso che determina l’immediata estinzione dell’ente, indipendentemente dall’esaurimento dei rapporti giuridici a esso facenti capo. Alla cancellazione segue un fenomeno di tipo successorio, in virtù del quale le obbligazioni della società si trasferiscono in capo ai soci che ne rispondono entro certi limiti.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L’articolo 28, comma 4, del decreto Semplificazioni stabilisce che, “</w:t>
      </w:r>
      <w:r>
        <w:rPr>
          <w:rFonts w:ascii="inherit" w:eastAsia="Times New Roman" w:hAnsi="inherit" w:cs="Times New Roman"/>
          <w:i/>
          <w:iCs/>
          <w:color w:val="333333"/>
          <w:sz w:val="20"/>
          <w:szCs w:val="20"/>
          <w:bdr w:val="none" w:sz="0" w:space="0" w:color="auto" w:frame="1"/>
          <w:lang w:eastAsia="it-IT"/>
        </w:rPr>
        <w:t>ai soli fini della liquidazione, accertamento, contenzioso e riscossione dei tributi e contributi, sanzioni e interessi, l’estinzione della società di cui all’articolo 2495 del C.c. ha effetto </w:t>
      </w:r>
      <w:r>
        <w:rPr>
          <w:rFonts w:ascii="inherit" w:eastAsia="Times New Roman" w:hAnsi="inherit" w:cs="Times New Roman"/>
          <w:b/>
          <w:bCs/>
          <w:i/>
          <w:iCs/>
          <w:color w:val="333333"/>
          <w:sz w:val="20"/>
          <w:szCs w:val="20"/>
          <w:bdr w:val="none" w:sz="0" w:space="0" w:color="auto" w:frame="1"/>
          <w:lang w:eastAsia="it-IT"/>
        </w:rPr>
        <w:t>trascorsi cinque anni dalla richiesta di cancellazione </w:t>
      </w:r>
      <w:r>
        <w:rPr>
          <w:rFonts w:ascii="inherit" w:eastAsia="Times New Roman" w:hAnsi="inherit" w:cs="Times New Roman"/>
          <w:i/>
          <w:iCs/>
          <w:color w:val="333333"/>
          <w:sz w:val="20"/>
          <w:szCs w:val="20"/>
          <w:bdr w:val="none" w:sz="0" w:space="0" w:color="auto" w:frame="1"/>
          <w:lang w:eastAsia="it-IT"/>
        </w:rPr>
        <w:t>dal Registro delle imprese</w:t>
      </w:r>
      <w:r>
        <w:rPr>
          <w:rFonts w:ascii="inherit" w:eastAsia="Times New Roman" w:hAnsi="inherit" w:cs="Times New Roman"/>
          <w:color w:val="333333"/>
          <w:sz w:val="20"/>
          <w:szCs w:val="20"/>
          <w:lang w:eastAsia="it-IT"/>
        </w:rPr>
        <w:t>”.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Con la circolare n. 31/E del 2014 (ma si veda anche la n. 6/E del 2015), l’</w:t>
      </w:r>
      <w:r>
        <w:rPr>
          <w:rFonts w:ascii="inherit" w:eastAsia="Times New Roman" w:hAnsi="inherit" w:cs="Times New Roman"/>
          <w:color w:val="333333"/>
          <w:sz w:val="20"/>
          <w:szCs w:val="20"/>
          <w:u w:val="single"/>
          <w:lang w:eastAsia="it-IT"/>
        </w:rPr>
        <w:t>Agenzia delle Entrate ha attribuito efficacia retroattiva alla nuova disposizione</w:t>
      </w:r>
      <w:r>
        <w:rPr>
          <w:rFonts w:ascii="inherit" w:eastAsia="Times New Roman" w:hAnsi="inherit" w:cs="Times New Roman"/>
          <w:color w:val="333333"/>
          <w:sz w:val="20"/>
          <w:szCs w:val="20"/>
          <w:lang w:eastAsia="it-IT"/>
        </w:rPr>
        <w:t>. Tuttavia la Suprema Corte ha </w:t>
      </w:r>
      <w:r>
        <w:rPr>
          <w:rFonts w:ascii="inherit" w:eastAsia="Times New Roman" w:hAnsi="inherit" w:cs="Times New Roman"/>
          <w:b/>
          <w:bCs/>
          <w:color w:val="333333"/>
          <w:sz w:val="20"/>
          <w:szCs w:val="20"/>
          <w:bdr w:val="none" w:sz="0" w:space="0" w:color="auto" w:frame="1"/>
          <w:lang w:eastAsia="it-IT"/>
        </w:rPr>
        <w:t>preso le distanze</w:t>
      </w:r>
      <w:r>
        <w:rPr>
          <w:rFonts w:ascii="inherit" w:eastAsia="Times New Roman" w:hAnsi="inherit" w:cs="Times New Roman"/>
          <w:color w:val="333333"/>
          <w:sz w:val="20"/>
          <w:szCs w:val="20"/>
          <w:lang w:eastAsia="it-IT"/>
        </w:rPr>
        <w:t> da questo assunto, in quanto la norma in questione opera su un piano sostanziale e non “procedurale” (cioè non si risolve in una diversa regolamentazione dei termini processuali o dei tempi e delle procedure di accertamento o riscossione).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Gli Ermellini ricordano che, secondo l’articolo 11 delle preleggi, “</w:t>
      </w:r>
      <w:r>
        <w:rPr>
          <w:rFonts w:ascii="inherit" w:eastAsia="Times New Roman" w:hAnsi="inherit" w:cs="Times New Roman"/>
          <w:i/>
          <w:iCs/>
          <w:color w:val="333333"/>
          <w:sz w:val="20"/>
          <w:szCs w:val="20"/>
          <w:bdr w:val="none" w:sz="0" w:space="0" w:color="auto" w:frame="1"/>
          <w:lang w:eastAsia="it-IT"/>
        </w:rPr>
        <w:t>la legge non dispone che per l’</w:t>
      </w:r>
      <w:proofErr w:type="spellStart"/>
      <w:r>
        <w:rPr>
          <w:rFonts w:ascii="inherit" w:eastAsia="Times New Roman" w:hAnsi="inherit" w:cs="Times New Roman"/>
          <w:i/>
          <w:iCs/>
          <w:color w:val="333333"/>
          <w:sz w:val="20"/>
          <w:szCs w:val="20"/>
          <w:bdr w:val="none" w:sz="0" w:space="0" w:color="auto" w:frame="1"/>
          <w:lang w:eastAsia="it-IT"/>
        </w:rPr>
        <w:t>avvenire”,</w:t>
      </w:r>
      <w:r>
        <w:rPr>
          <w:rFonts w:ascii="inherit" w:eastAsia="Times New Roman" w:hAnsi="inherit" w:cs="Times New Roman"/>
          <w:color w:val="333333"/>
          <w:sz w:val="20"/>
          <w:szCs w:val="20"/>
          <w:lang w:eastAsia="it-IT"/>
        </w:rPr>
        <w:t>inoltre</w:t>
      </w:r>
      <w:proofErr w:type="spellEnd"/>
      <w:r>
        <w:rPr>
          <w:rFonts w:ascii="inherit" w:eastAsia="Times New Roman" w:hAnsi="inherit" w:cs="Times New Roman"/>
          <w:color w:val="333333"/>
          <w:sz w:val="20"/>
          <w:szCs w:val="20"/>
          <w:lang w:eastAsia="it-IT"/>
        </w:rPr>
        <w:t>, ai sensi dell’articolo 3, comma 1, dello Statuto del contribuente (L. 212/2000),</w:t>
      </w:r>
      <w:r>
        <w:rPr>
          <w:rFonts w:ascii="inherit" w:eastAsia="Times New Roman" w:hAnsi="inherit" w:cs="Times New Roman"/>
          <w:i/>
          <w:iCs/>
          <w:color w:val="333333"/>
          <w:sz w:val="20"/>
          <w:szCs w:val="20"/>
          <w:bdr w:val="none" w:sz="0" w:space="0" w:color="auto" w:frame="1"/>
          <w:lang w:eastAsia="it-IT"/>
        </w:rPr>
        <w:t> “le disposizioni tributarie non hanno effetto retroattivo</w:t>
      </w:r>
      <w:r>
        <w:rPr>
          <w:rFonts w:ascii="inherit" w:eastAsia="Times New Roman" w:hAnsi="inherit" w:cs="Times New Roman"/>
          <w:color w:val="333333"/>
          <w:sz w:val="20"/>
          <w:szCs w:val="20"/>
          <w:lang w:eastAsia="it-IT"/>
        </w:rPr>
        <w:t>”, salvo i casi di interpretazione autentica.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E allora, posto che è da escludere che il comma 4 dell’art. 28 abbia valenza interpretativa e considerato che il legislatore delegato non aveva il potere di derogare alla Legge 212 del 2000 - perché la legge di delegazione gli ha imposto lo specifico obbligo di rispettare lo Statuto dei diritti del contribuente, quindi anche il comma 3 dell’art. 1 - “</w:t>
      </w:r>
      <w:r>
        <w:rPr>
          <w:rFonts w:ascii="inherit" w:eastAsia="Times New Roman" w:hAnsi="inherit" w:cs="Times New Roman"/>
          <w:i/>
          <w:iCs/>
          <w:color w:val="333333"/>
          <w:sz w:val="20"/>
          <w:szCs w:val="20"/>
          <w:bdr w:val="none" w:sz="0" w:space="0" w:color="auto" w:frame="1"/>
          <w:lang w:eastAsia="it-IT"/>
        </w:rPr>
        <w:t>occorre prendere atto che, in concreto, </w:t>
      </w:r>
      <w:r>
        <w:rPr>
          <w:rFonts w:ascii="inherit" w:eastAsia="Times New Roman" w:hAnsi="inherit" w:cs="Times New Roman"/>
          <w:b/>
          <w:bCs/>
          <w:i/>
          <w:iCs/>
          <w:color w:val="333333"/>
          <w:sz w:val="20"/>
          <w:szCs w:val="20"/>
          <w:bdr w:val="none" w:sz="0" w:space="0" w:color="auto" w:frame="1"/>
          <w:lang w:eastAsia="it-IT"/>
        </w:rPr>
        <w:t>il testo della disposizione non consente di individuare alcun indice di retroattività per la sua efficacia </w:t>
      </w:r>
      <w:r>
        <w:rPr>
          <w:rFonts w:ascii="inherit" w:eastAsia="Times New Roman" w:hAnsi="inherit" w:cs="Times New Roman"/>
          <w:i/>
          <w:iCs/>
          <w:color w:val="333333"/>
          <w:sz w:val="20"/>
          <w:szCs w:val="20"/>
          <w:bdr w:val="none" w:sz="0" w:space="0" w:color="auto" w:frame="1"/>
          <w:lang w:eastAsia="it-IT"/>
        </w:rPr>
        <w:t>e, pertanto, rispetta il comma 1 dell’art. 3 dello statuto dei diritti del contribuente. Più in dettaglio, l’enunciato della disposizione in esame </w:t>
      </w:r>
      <w:r>
        <w:rPr>
          <w:rFonts w:ascii="inherit" w:eastAsia="Times New Roman" w:hAnsi="inherit" w:cs="Times New Roman"/>
          <w:b/>
          <w:bCs/>
          <w:i/>
          <w:iCs/>
          <w:color w:val="333333"/>
          <w:sz w:val="20"/>
          <w:szCs w:val="20"/>
          <w:bdr w:val="none" w:sz="0" w:space="0" w:color="auto" w:frame="1"/>
          <w:lang w:eastAsia="it-IT"/>
        </w:rPr>
        <w:t xml:space="preserve">non autorizza ad attribuire effetti di </w:t>
      </w:r>
      <w:proofErr w:type="spellStart"/>
      <w:r>
        <w:rPr>
          <w:rFonts w:ascii="inherit" w:eastAsia="Times New Roman" w:hAnsi="inherit" w:cs="Times New Roman"/>
          <w:b/>
          <w:bCs/>
          <w:i/>
          <w:iCs/>
          <w:color w:val="333333"/>
          <w:sz w:val="20"/>
          <w:szCs w:val="20"/>
          <w:bdr w:val="none" w:sz="0" w:space="0" w:color="auto" w:frame="1"/>
          <w:lang w:eastAsia="it-IT"/>
        </w:rPr>
        <w:t>sanatoria</w:t>
      </w:r>
      <w:r>
        <w:rPr>
          <w:rFonts w:ascii="inherit" w:eastAsia="Times New Roman" w:hAnsi="inherit" w:cs="Times New Roman"/>
          <w:i/>
          <w:iCs/>
          <w:color w:val="333333"/>
          <w:sz w:val="20"/>
          <w:szCs w:val="20"/>
          <w:u w:val="single"/>
          <w:bdr w:val="none" w:sz="0" w:space="0" w:color="auto" w:frame="1"/>
          <w:lang w:eastAsia="it-IT"/>
        </w:rPr>
        <w:t>in</w:t>
      </w:r>
      <w:proofErr w:type="spellEnd"/>
      <w:r>
        <w:rPr>
          <w:rFonts w:ascii="inherit" w:eastAsia="Times New Roman" w:hAnsi="inherit" w:cs="Times New Roman"/>
          <w:i/>
          <w:iCs/>
          <w:color w:val="333333"/>
          <w:sz w:val="20"/>
          <w:szCs w:val="20"/>
          <w:u w:val="single"/>
          <w:bdr w:val="none" w:sz="0" w:space="0" w:color="auto" w:frame="1"/>
          <w:lang w:eastAsia="it-IT"/>
        </w:rPr>
        <w:t xml:space="preserve"> relazione ad atti notificati a società già estinte per le quali la richiesta di cancellazione e l’estinzione siano intervenute anteriormente al 13 dicembre 2014</w:t>
      </w:r>
      <w:r>
        <w:rPr>
          <w:rFonts w:ascii="inherit" w:eastAsia="Times New Roman" w:hAnsi="inherit" w:cs="Times New Roman"/>
          <w:i/>
          <w:iCs/>
          <w:color w:val="333333"/>
          <w:sz w:val="20"/>
          <w:szCs w:val="20"/>
          <w:bdr w:val="none" w:sz="0" w:space="0" w:color="auto" w:frame="1"/>
          <w:lang w:eastAsia="it-IT"/>
        </w:rPr>
        <w:t>. La stessa relazione illustrativa al d.lgs. non affronta in alcun modo la questione dell’eventuale efficacia retroattiva della norma</w:t>
      </w:r>
      <w:r>
        <w:rPr>
          <w:rFonts w:ascii="inherit" w:eastAsia="Times New Roman" w:hAnsi="inherit" w:cs="Times New Roman"/>
          <w:color w:val="333333"/>
          <w:sz w:val="20"/>
          <w:szCs w:val="20"/>
          <w:lang w:eastAsia="it-IT"/>
        </w:rPr>
        <w:t>”.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Si deve pertanto concludere –</w:t>
      </w:r>
      <w:r>
        <w:rPr>
          <w:rFonts w:ascii="inherit" w:eastAsia="Times New Roman" w:hAnsi="inherit" w:cs="Times New Roman"/>
          <w:b/>
          <w:bCs/>
          <w:color w:val="333333"/>
          <w:sz w:val="20"/>
          <w:szCs w:val="20"/>
          <w:bdr w:val="none" w:sz="0" w:space="0" w:color="auto" w:frame="1"/>
          <w:lang w:eastAsia="it-IT"/>
        </w:rPr>
        <w:t> si legge ancora in sentenza</w:t>
      </w:r>
      <w:r>
        <w:rPr>
          <w:rFonts w:ascii="inherit" w:eastAsia="Times New Roman" w:hAnsi="inherit" w:cs="Times New Roman"/>
          <w:color w:val="333333"/>
          <w:sz w:val="20"/>
          <w:szCs w:val="20"/>
          <w:lang w:eastAsia="it-IT"/>
        </w:rPr>
        <w:t> - che “</w:t>
      </w:r>
      <w:r>
        <w:rPr>
          <w:rFonts w:ascii="inherit" w:eastAsia="Times New Roman" w:hAnsi="inherit" w:cs="Times New Roman"/>
          <w:i/>
          <w:iCs/>
          <w:color w:val="333333"/>
          <w:sz w:val="20"/>
          <w:szCs w:val="20"/>
          <w:bdr w:val="none" w:sz="0" w:space="0" w:color="auto" w:frame="1"/>
          <w:lang w:eastAsia="it-IT"/>
        </w:rPr>
        <w:t>il comma 4 dell’articolo 28 del decreto legislativo 175/14, recante disposizioni di natura sostanziale sulla capacità della società cancellata dal registro delle imprese, </w:t>
      </w:r>
      <w:r>
        <w:rPr>
          <w:rFonts w:ascii="inherit" w:eastAsia="Times New Roman" w:hAnsi="inherit" w:cs="Times New Roman"/>
          <w:b/>
          <w:bCs/>
          <w:i/>
          <w:iCs/>
          <w:color w:val="333333"/>
          <w:sz w:val="20"/>
          <w:szCs w:val="20"/>
          <w:bdr w:val="none" w:sz="0" w:space="0" w:color="auto" w:frame="1"/>
          <w:lang w:eastAsia="it-IT"/>
        </w:rPr>
        <w:t>non ha efficacia retroattiva</w:t>
      </w:r>
      <w:r>
        <w:rPr>
          <w:rFonts w:ascii="inherit" w:eastAsia="Times New Roman" w:hAnsi="inherit" w:cs="Times New Roman"/>
          <w:i/>
          <w:iCs/>
          <w:color w:val="333333"/>
          <w:sz w:val="20"/>
          <w:szCs w:val="20"/>
          <w:bdr w:val="none" w:sz="0" w:space="0" w:color="auto" w:frame="1"/>
          <w:lang w:eastAsia="it-IT"/>
        </w:rPr>
        <w:t> e, pertanto, il differimento quinquennale (operante nei soli confronti dell’amministrazione finanziaria e degli altri enti creditori o di riscossione, indicati nello stesso comma, con riguardo a tributi o contributi) degli effetti dell’estinzione della società derivanti dall’art. 2495, secondo comma, cod. civ.</w:t>
      </w:r>
      <w:r>
        <w:rPr>
          <w:rFonts w:ascii="inherit" w:eastAsia="Times New Roman" w:hAnsi="inherit" w:cs="Times New Roman"/>
          <w:b/>
          <w:bCs/>
          <w:i/>
          <w:iCs/>
          <w:color w:val="333333"/>
          <w:sz w:val="20"/>
          <w:szCs w:val="20"/>
          <w:bdr w:val="none" w:sz="0" w:space="0" w:color="auto" w:frame="1"/>
          <w:lang w:eastAsia="it-IT"/>
        </w:rPr>
        <w:t> si applica esclusivamente</w:t>
      </w:r>
      <w:r>
        <w:rPr>
          <w:rFonts w:ascii="inherit" w:eastAsia="Times New Roman" w:hAnsi="inherit" w:cs="Times New Roman"/>
          <w:i/>
          <w:iCs/>
          <w:color w:val="333333"/>
          <w:sz w:val="20"/>
          <w:szCs w:val="20"/>
          <w:bdr w:val="none" w:sz="0" w:space="0" w:color="auto" w:frame="1"/>
          <w:lang w:eastAsia="it-IT"/>
        </w:rPr>
        <w:t> ai casi in cui la richiesta di cancellazione della società dal registro delle imprese (richiesta che costituisce il presupposto di tale differimento) </w:t>
      </w:r>
      <w:r>
        <w:rPr>
          <w:rFonts w:ascii="inherit" w:eastAsia="Times New Roman" w:hAnsi="inherit" w:cs="Times New Roman"/>
          <w:b/>
          <w:bCs/>
          <w:i/>
          <w:iCs/>
          <w:color w:val="333333"/>
          <w:sz w:val="20"/>
          <w:szCs w:val="20"/>
          <w:bdr w:val="none" w:sz="0" w:space="0" w:color="auto" w:frame="1"/>
          <w:lang w:eastAsia="it-IT"/>
        </w:rPr>
        <w:t>sia presentata nella vigenza di detto decreto legislativo</w:t>
      </w:r>
      <w:r>
        <w:rPr>
          <w:rFonts w:ascii="inherit" w:eastAsia="Times New Roman" w:hAnsi="inherit" w:cs="Times New Roman"/>
          <w:i/>
          <w:iCs/>
          <w:color w:val="333333"/>
          <w:sz w:val="20"/>
          <w:szCs w:val="20"/>
          <w:bdr w:val="none" w:sz="0" w:space="0" w:color="auto" w:frame="1"/>
          <w:lang w:eastAsia="it-IT"/>
        </w:rPr>
        <w:t> (cioè il 13 dicembre 2014 o successivamente)</w:t>
      </w:r>
      <w:r>
        <w:rPr>
          <w:rFonts w:ascii="inherit" w:eastAsia="Times New Roman" w:hAnsi="inherit" w:cs="Times New Roman"/>
          <w:color w:val="333333"/>
          <w:sz w:val="20"/>
          <w:szCs w:val="20"/>
          <w:lang w:eastAsia="it-IT"/>
        </w:rPr>
        <w:t>”. </w:t>
      </w:r>
      <w:r>
        <w:rPr>
          <w:rFonts w:ascii="inherit" w:eastAsia="Times New Roman" w:hAnsi="inherit" w:cs="Times New Roman"/>
          <w:color w:val="333333"/>
          <w:sz w:val="20"/>
          <w:szCs w:val="20"/>
          <w:lang w:eastAsia="it-IT"/>
        </w:rPr>
        <w:br/>
      </w:r>
      <w:r>
        <w:rPr>
          <w:rFonts w:ascii="inherit" w:eastAsia="Times New Roman" w:hAnsi="inherit" w:cs="Times New Roman"/>
          <w:color w:val="333333"/>
          <w:sz w:val="20"/>
          <w:szCs w:val="20"/>
          <w:lang w:eastAsia="it-IT"/>
        </w:rPr>
        <w:br/>
        <w:t>Dunque, soltanto per le società che abbiano fatto richiesta di cancellazione dal Registro delle imprese dal 13 dicembre 2014 o successivamente, il comma 4 dell’articolo 28 posticipa l’effetto estintivo della società (di persone o di capitali) di cinque anni, decorrenti dalla richiesta di cancellazione, con differimento limitato al settore tributario e contributivo, nel senso che l’estinzione intervenuta durante tale periodo non fa venir meno la “validità” e l’“efficacia” sia degli atti di liquidazione, di accertamento, di riscossione relativi a tributi e contributi, sanzioni e interessi, sia degli atti processuali afferenti a giudizi concernenti detti tributi e contributi, sanzioni e interessi. Il differimento degli effetti dell’estinzione non opera necessariamente per un quinquennio, ma per l’eventuale minor periodo che risulta al netto dello scarto temporale tra la richiesta di cancellazione e l’estinzione.</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2015-04-03T06:21:00Z</dcterms:created>
  <dcterms:modified xsi:type="dcterms:W3CDTF">2015-04-03T06:22:00Z</dcterms:modified>
</cp:coreProperties>
</file>